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26" w:right="0" w:hanging="0"/>
        <w:jc w:val="center"/>
        <w:rPr/>
      </w:pPr>
      <w:r>
        <w:rPr>
          <w:b/>
          <w:sz w:val="24"/>
          <w:szCs w:val="24"/>
        </w:rPr>
        <w:t xml:space="preserve">ДОВІДКА ПРО КОНСУЛЬТАЦІЇ </w:t>
      </w:r>
      <w:r>
        <w:rPr>
          <w:rStyle w:val="Rvts0"/>
          <w:b/>
          <w:sz w:val="24"/>
          <w:szCs w:val="24"/>
        </w:rPr>
        <w:t xml:space="preserve">У ПРОЦЕСІ ЗДІЙСНЕННЯ СТРАТЕГІЧНОЇ ЕКОЛОГІЧНОЇ ОЦІНКИ ДОКУМЕНТА ДЕРЖАВНОГО ПЛАНУВАННЯ – ГЕНЕРАЛЬНОГО ПЛАНУ ТА ПЛАНУ ЗОНУВАННЯ ТЕРИТОРІЇ </w:t>
      </w:r>
    </w:p>
    <w:p>
      <w:pPr>
        <w:pStyle w:val="Normal"/>
        <w:ind w:left="426" w:right="0" w:hanging="0"/>
        <w:jc w:val="center"/>
        <w:rPr/>
      </w:pPr>
      <w:r>
        <w:rPr>
          <w:rStyle w:val="Rvts0"/>
          <w:b/>
          <w:sz w:val="24"/>
          <w:szCs w:val="24"/>
        </w:rPr>
        <w:t>м. АВДІЇВКА ДОНЕЦЬКОЇ ОБЛАСТІ</w:t>
      </w:r>
    </w:p>
    <w:p>
      <w:pPr>
        <w:pStyle w:val="Normal"/>
        <w:ind w:left="426" w:right="0" w:hanging="0"/>
        <w:jc w:val="center"/>
        <w:rPr/>
      </w:pPr>
      <w:r>
        <w:rPr/>
      </w:r>
    </w:p>
    <w:p>
      <w:pPr>
        <w:pStyle w:val="Normal"/>
        <w:ind w:left="426" w:right="0" w:hanging="0"/>
        <w:jc w:val="center"/>
        <w:rPr/>
      </w:pPr>
      <w:r>
        <w:rPr>
          <w:rStyle w:val="Rvts0"/>
          <w:b/>
          <w:sz w:val="24"/>
          <w:szCs w:val="24"/>
          <w:u w:val="single"/>
        </w:rPr>
        <w:t>від 0</w:t>
      </w:r>
      <w:r>
        <w:rPr>
          <w:rStyle w:val="Rvts0"/>
          <w:rFonts w:eastAsia="Times New Roman" w:cs="Times New Roman"/>
          <w:b/>
          <w:color w:val="auto"/>
          <w:sz w:val="24"/>
          <w:szCs w:val="24"/>
          <w:u w:val="single"/>
          <w:lang w:val="uk-UA" w:eastAsia="zh-CN" w:bidi="ar-SA"/>
        </w:rPr>
        <w:t>6</w:t>
      </w:r>
      <w:r>
        <w:rPr>
          <w:rStyle w:val="Rvts0"/>
          <w:b/>
          <w:sz w:val="24"/>
          <w:szCs w:val="24"/>
          <w:u w:val="single"/>
        </w:rPr>
        <w:t>.05.2020</w:t>
      </w:r>
    </w:p>
    <w:p>
      <w:pPr>
        <w:pStyle w:val="Normal"/>
        <w:ind w:left="426" w:right="0" w:hanging="0"/>
        <w:jc w:val="both"/>
        <w:rPr>
          <w:sz w:val="24"/>
          <w:szCs w:val="24"/>
        </w:rPr>
      </w:pPr>
      <w:r>
        <w:rPr>
          <w:sz w:val="24"/>
          <w:szCs w:val="24"/>
        </w:rPr>
      </w:r>
    </w:p>
    <w:p>
      <w:pPr>
        <w:pStyle w:val="Normal"/>
        <w:ind w:left="426" w:right="0" w:firstLine="708"/>
        <w:jc w:val="both"/>
        <w:rPr/>
      </w:pPr>
      <w:r>
        <w:rPr>
          <w:rStyle w:val="Rvts0"/>
          <w:sz w:val="24"/>
          <w:szCs w:val="24"/>
        </w:rPr>
        <w:t>Згідно з вимогами статті 13 Закону України «Про стратегічну екологічну оцінку» (далі – Закон) було проведено консультації з органами виконавчої влади у процесі здійснення стратегічної екологічної оцінки документа державного планування (ДДП) Генерального плану та Плану зонування території м. Авдіївка.</w:t>
      </w:r>
    </w:p>
    <w:p>
      <w:pPr>
        <w:pStyle w:val="Normal"/>
        <w:ind w:left="426" w:right="0" w:firstLine="708"/>
        <w:jc w:val="both"/>
        <w:rPr/>
      </w:pPr>
      <w:r>
        <w:rPr>
          <w:rStyle w:val="Rvts0"/>
          <w:sz w:val="24"/>
          <w:szCs w:val="24"/>
        </w:rPr>
        <w:t xml:space="preserve"> </w:t>
      </w:r>
    </w:p>
    <w:p>
      <w:pPr>
        <w:pStyle w:val="Normal"/>
        <w:ind w:left="426" w:right="0" w:firstLine="708"/>
        <w:jc w:val="both"/>
        <w:rPr/>
      </w:pPr>
      <w:r>
        <w:rPr>
          <w:rStyle w:val="Rvts0"/>
          <w:sz w:val="24"/>
          <w:szCs w:val="24"/>
        </w:rPr>
        <w:t xml:space="preserve">У період з </w:t>
      </w:r>
      <w:r>
        <w:rPr>
          <w:rStyle w:val="Rvts0"/>
          <w:rFonts w:eastAsia="Times New Roman" w:cs="Times New Roman"/>
          <w:color w:val="auto"/>
          <w:sz w:val="24"/>
          <w:szCs w:val="24"/>
          <w:lang w:val="uk-UA" w:eastAsia="zh-CN" w:bidi="ar-SA"/>
        </w:rPr>
        <w:t>2</w:t>
      </w:r>
      <w:r>
        <w:rPr>
          <w:rStyle w:val="Rvts0"/>
          <w:rFonts w:eastAsia="Times New Roman" w:cs="Times New Roman"/>
          <w:color w:val="000000"/>
          <w:sz w:val="24"/>
          <w:szCs w:val="24"/>
          <w:lang w:val="uk-UA" w:eastAsia="zh-CN" w:bidi="ar-SA"/>
        </w:rPr>
        <w:t>4</w:t>
      </w:r>
      <w:r>
        <w:rPr>
          <w:rStyle w:val="Rvts0"/>
          <w:sz w:val="24"/>
          <w:szCs w:val="24"/>
        </w:rPr>
        <w:t>.02.2020 по 24.03.2020 були проведені консультації з Департаментом екології та природних ресурсів Донецької обласної державної адміністрації та Департаментом охорони здоров’я Донецької обласної державної адміністрації (фактично відповід</w:t>
      </w:r>
      <w:r>
        <w:rPr>
          <w:rStyle w:val="Rvts0"/>
          <w:rFonts w:eastAsia="Times New Roman" w:cs="Times New Roman"/>
          <w:color w:val="auto"/>
          <w:sz w:val="24"/>
          <w:szCs w:val="24"/>
          <w:lang w:val="uk-UA" w:eastAsia="zh-CN" w:bidi="ar-SA"/>
        </w:rPr>
        <w:t>і</w:t>
      </w:r>
      <w:r>
        <w:rPr>
          <w:rStyle w:val="Rvts0"/>
          <w:sz w:val="24"/>
          <w:szCs w:val="24"/>
        </w:rPr>
        <w:t xml:space="preserve"> були отримані відповідно 23.03.2020 </w:t>
      </w:r>
      <w:r>
        <w:rPr>
          <w:rStyle w:val="Rvts0"/>
          <w:rFonts w:eastAsia="Times New Roman" w:cs="Times New Roman"/>
          <w:color w:val="auto"/>
          <w:sz w:val="24"/>
          <w:szCs w:val="24"/>
          <w:lang w:val="uk-UA" w:eastAsia="zh-CN" w:bidi="ar-SA"/>
        </w:rPr>
        <w:t>т</w:t>
      </w:r>
      <w:r>
        <w:rPr>
          <w:rStyle w:val="Rvts0"/>
          <w:sz w:val="24"/>
          <w:szCs w:val="24"/>
        </w:rPr>
        <w:t>а</w:t>
      </w:r>
      <w:r>
        <w:rPr>
          <w:sz w:val="24"/>
          <w:szCs w:val="24"/>
        </w:rPr>
        <w:t xml:space="preserve"> 07.04.2020</w:t>
      </w:r>
      <w:r>
        <w:rPr>
          <w:rStyle w:val="Rvts0"/>
          <w:sz w:val="24"/>
          <w:szCs w:val="24"/>
        </w:rPr>
        <w:t>). До відповідних органів було подано проект документа державного планування, звіт про стратегічну екологічну оцінку та повідомлення про оприлюднення цих документів. В даний період органами було надано</w:t>
      </w:r>
      <w:r>
        <w:rPr>
          <w:sz w:val="24"/>
          <w:szCs w:val="24"/>
        </w:rPr>
        <w:t xml:space="preserve"> </w:t>
      </w:r>
      <w:r>
        <w:rPr>
          <w:rStyle w:val="Rvts0"/>
          <w:sz w:val="24"/>
          <w:szCs w:val="24"/>
        </w:rPr>
        <w:t xml:space="preserve">в письмовій формі зауваження та пропозиції до проекту документа державного планування та звіту про стратегічну екологічну оцінку (додаток 1). </w:t>
      </w:r>
    </w:p>
    <w:p>
      <w:pPr>
        <w:pStyle w:val="Normal"/>
        <w:ind w:left="426" w:right="0" w:firstLine="708"/>
        <w:jc w:val="both"/>
        <w:rPr/>
      </w:pPr>
      <w:r>
        <w:rPr>
          <w:rStyle w:val="Rvts0"/>
          <w:sz w:val="24"/>
          <w:szCs w:val="24"/>
        </w:rPr>
        <w:t xml:space="preserve">Додатково, у період з </w:t>
      </w:r>
      <w:r>
        <w:rPr>
          <w:rStyle w:val="Rvts0"/>
          <w:rFonts w:eastAsia="Times New Roman" w:cs="Times New Roman"/>
          <w:color w:val="000000"/>
          <w:sz w:val="24"/>
          <w:szCs w:val="24"/>
          <w:lang w:val="uk-UA" w:eastAsia="zh-CN" w:bidi="ar-SA"/>
        </w:rPr>
        <w:t>24</w:t>
      </w:r>
      <w:r>
        <w:rPr>
          <w:rStyle w:val="Rvts0"/>
          <w:sz w:val="24"/>
          <w:szCs w:val="24"/>
        </w:rPr>
        <w:t>.02.2020 по 2</w:t>
      </w:r>
      <w:r>
        <w:rPr>
          <w:rStyle w:val="Rvts0"/>
          <w:rFonts w:eastAsia="Times New Roman" w:cs="Times New Roman"/>
          <w:color w:val="000000"/>
          <w:sz w:val="24"/>
          <w:szCs w:val="24"/>
          <w:lang w:val="uk-UA" w:bidi="ar-SA"/>
        </w:rPr>
        <w:t>4</w:t>
      </w:r>
      <w:r>
        <w:rPr>
          <w:rStyle w:val="Rvts0"/>
          <w:sz w:val="24"/>
          <w:szCs w:val="24"/>
        </w:rPr>
        <w:t>.03.2020 були проведені консультації з Міністерством енергетики та захисту довкілля України та з Міністерством охорони здоров’я України (фактично відповід</w:t>
      </w:r>
      <w:r>
        <w:rPr>
          <w:rStyle w:val="Rvts0"/>
          <w:rFonts w:eastAsia="Times New Roman" w:cs="Times New Roman"/>
          <w:color w:val="auto"/>
          <w:sz w:val="24"/>
          <w:szCs w:val="24"/>
          <w:lang w:val="uk-UA" w:eastAsia="zh-CN" w:bidi="ar-SA"/>
        </w:rPr>
        <w:t>і</w:t>
      </w:r>
      <w:r>
        <w:rPr>
          <w:rStyle w:val="Rvts0"/>
          <w:sz w:val="24"/>
          <w:szCs w:val="24"/>
        </w:rPr>
        <w:t xml:space="preserve"> були отримані відповідно 26.03.2020 та 11.03.2020).</w:t>
      </w:r>
      <w:r>
        <w:rPr>
          <w:sz w:val="24"/>
          <w:szCs w:val="24"/>
        </w:rPr>
        <w:t xml:space="preserve"> </w:t>
      </w:r>
      <w:r>
        <w:rPr>
          <w:rStyle w:val="Rvts0"/>
          <w:sz w:val="24"/>
          <w:szCs w:val="24"/>
        </w:rPr>
        <w:t>До зазначених органів було подано проект документа державного планування, звіт про стратегічну екологічну оцінку та повідомлення про оприлюднення цих документів. В даний період зазначеними установами було надано</w:t>
      </w:r>
      <w:r>
        <w:rPr>
          <w:sz w:val="24"/>
          <w:szCs w:val="24"/>
        </w:rPr>
        <w:t xml:space="preserve"> </w:t>
      </w:r>
      <w:r>
        <w:rPr>
          <w:rStyle w:val="Rvts0"/>
          <w:sz w:val="24"/>
          <w:szCs w:val="24"/>
        </w:rPr>
        <w:t>в письмовій формі зауваження та пропозиції до проекту документа державного планування та звіту про стратегічну екологічну оцінку (додаток 1).</w:t>
      </w:r>
    </w:p>
    <w:p>
      <w:pPr>
        <w:pStyle w:val="Normal"/>
        <w:ind w:left="426" w:right="0" w:firstLine="708"/>
        <w:jc w:val="both"/>
        <w:rPr/>
      </w:pPr>
      <w:r>
        <w:rPr>
          <w:rStyle w:val="Rvts0"/>
          <w:b/>
          <w:sz w:val="24"/>
          <w:szCs w:val="24"/>
        </w:rPr>
        <w:t>Додатки:</w:t>
      </w:r>
    </w:p>
    <w:p>
      <w:pPr>
        <w:pStyle w:val="Normal"/>
        <w:numPr>
          <w:ilvl w:val="0"/>
          <w:numId w:val="1"/>
        </w:numPr>
        <w:jc w:val="both"/>
        <w:rPr/>
      </w:pPr>
      <w:r>
        <w:rPr>
          <w:rStyle w:val="Rvts0"/>
          <w:sz w:val="24"/>
          <w:szCs w:val="24"/>
        </w:rPr>
        <w:t>Довідка про консультації (Додаток 1);</w:t>
      </w:r>
    </w:p>
    <w:p>
      <w:pPr>
        <w:pStyle w:val="Normal"/>
        <w:numPr>
          <w:ilvl w:val="0"/>
          <w:numId w:val="1"/>
        </w:numPr>
        <w:jc w:val="both"/>
        <w:rPr/>
      </w:pPr>
      <w:r>
        <w:rPr>
          <w:rStyle w:val="Rvts0"/>
          <w:sz w:val="24"/>
          <w:szCs w:val="24"/>
        </w:rPr>
        <w:t xml:space="preserve">Відповідь Департаменту екології та природних ресурсів Донецької обласної державної адміністрації </w:t>
      </w:r>
      <w:bookmarkStart w:id="0" w:name="OLE_LINK4"/>
      <w:bookmarkStart w:id="1" w:name="OLE_LINK3"/>
      <w:r>
        <w:rPr>
          <w:sz w:val="24"/>
          <w:szCs w:val="24"/>
        </w:rPr>
        <w:t>(лист від 20.03.2020 № 10-17/1638/90-20)</w:t>
      </w:r>
      <w:bookmarkEnd w:id="0"/>
      <w:bookmarkEnd w:id="1"/>
      <w:r>
        <w:rPr>
          <w:rStyle w:val="Rvts0"/>
          <w:sz w:val="24"/>
          <w:szCs w:val="24"/>
        </w:rPr>
        <w:t>;</w:t>
      </w:r>
    </w:p>
    <w:p>
      <w:pPr>
        <w:pStyle w:val="Normal"/>
        <w:numPr>
          <w:ilvl w:val="0"/>
          <w:numId w:val="1"/>
        </w:numPr>
        <w:jc w:val="both"/>
        <w:rPr/>
      </w:pPr>
      <w:r>
        <w:rPr>
          <w:rStyle w:val="Rvts0"/>
          <w:sz w:val="24"/>
          <w:szCs w:val="24"/>
        </w:rPr>
        <w:t xml:space="preserve">Відповідь Департаменту охорони здоров’я Донецької обласної державної адміністрації </w:t>
      </w:r>
      <w:r>
        <w:rPr>
          <w:sz w:val="24"/>
          <w:szCs w:val="24"/>
        </w:rPr>
        <w:t>(лист від 07.04.2020 № 01-57/960/0/71-20)</w:t>
      </w:r>
      <w:r>
        <w:rPr>
          <w:rStyle w:val="Rvts0"/>
          <w:sz w:val="24"/>
          <w:szCs w:val="24"/>
        </w:rPr>
        <w:t>;</w:t>
      </w:r>
    </w:p>
    <w:p>
      <w:pPr>
        <w:pStyle w:val="Normal"/>
        <w:numPr>
          <w:ilvl w:val="0"/>
          <w:numId w:val="1"/>
        </w:numPr>
        <w:jc w:val="both"/>
        <w:rPr/>
      </w:pPr>
      <w:r>
        <w:rPr>
          <w:sz w:val="24"/>
          <w:szCs w:val="24"/>
        </w:rPr>
        <w:t>Відповідь Міністерства енергетики та захисту довкілля України (лист від 13.03.2020 № 26/1.5-15.2-6574)</w:t>
      </w:r>
      <w:r>
        <w:rPr>
          <w:rStyle w:val="Rvts0"/>
          <w:sz w:val="24"/>
          <w:szCs w:val="24"/>
        </w:rPr>
        <w:t>;</w:t>
      </w:r>
    </w:p>
    <w:p>
      <w:pPr>
        <w:pStyle w:val="Normal"/>
        <w:numPr>
          <w:ilvl w:val="0"/>
          <w:numId w:val="1"/>
        </w:numPr>
        <w:jc w:val="both"/>
        <w:rPr/>
      </w:pPr>
      <w:r>
        <w:rPr>
          <w:sz w:val="24"/>
          <w:szCs w:val="24"/>
        </w:rPr>
        <w:t>Відповідь</w:t>
      </w:r>
      <w:r>
        <w:rPr>
          <w:rStyle w:val="2"/>
          <w:sz w:val="24"/>
          <w:szCs w:val="24"/>
        </w:rPr>
        <w:t xml:space="preserve"> ДУ «Донецький обласний лабораторний центр МОЗ України»</w:t>
      </w:r>
      <w:r>
        <w:rPr>
          <w:i/>
          <w:sz w:val="24"/>
          <w:szCs w:val="24"/>
        </w:rPr>
        <w:t xml:space="preserve"> </w:t>
      </w:r>
      <w:r>
        <w:rPr>
          <w:sz w:val="24"/>
          <w:szCs w:val="24"/>
        </w:rPr>
        <w:t>(лист від 11.03.2020 № 377/03.1).</w:t>
      </w:r>
    </w:p>
    <w:p>
      <w:pPr>
        <w:pStyle w:val="Normal"/>
        <w:ind w:left="0" w:right="0" w:firstLine="708"/>
        <w:rPr>
          <w:sz w:val="24"/>
          <w:szCs w:val="24"/>
        </w:rPr>
      </w:pPr>
      <w:r>
        <w:rPr>
          <w:sz w:val="24"/>
          <w:szCs w:val="24"/>
        </w:rPr>
      </w:r>
    </w:p>
    <w:p>
      <w:pPr>
        <w:pStyle w:val="Normal"/>
        <w:ind w:left="0" w:right="0" w:firstLine="708"/>
        <w:rPr>
          <w:sz w:val="24"/>
          <w:szCs w:val="24"/>
        </w:rPr>
      </w:pPr>
      <w:r>
        <w:rPr>
          <w:sz w:val="24"/>
          <w:szCs w:val="24"/>
        </w:rPr>
      </w:r>
    </w:p>
    <w:p>
      <w:pPr>
        <w:pStyle w:val="Normal"/>
        <w:tabs>
          <w:tab w:val="clear" w:pos="708"/>
          <w:tab w:val="left" w:pos="284" w:leader="none"/>
        </w:tabs>
        <w:spacing w:lineRule="auto" w:line="276"/>
        <w:ind w:left="-11" w:right="0" w:hanging="0"/>
        <w:jc w:val="both"/>
        <w:rPr>
          <w:sz w:val="24"/>
          <w:szCs w:val="24"/>
        </w:rPr>
      </w:pPr>
      <w:r>
        <w:rPr>
          <w:sz w:val="24"/>
          <w:szCs w:val="24"/>
        </w:rPr>
      </w:r>
    </w:p>
    <w:p>
      <w:pPr>
        <w:pStyle w:val="Normal"/>
        <w:ind w:left="0" w:right="0" w:firstLine="709"/>
        <w:jc w:val="both"/>
        <w:rPr>
          <w:sz w:val="24"/>
          <w:szCs w:val="24"/>
          <w:lang w:eastAsia="uk-UA"/>
        </w:rPr>
      </w:pPr>
      <w:r>
        <w:rPr>
          <w:sz w:val="24"/>
          <w:szCs w:val="24"/>
          <w:lang w:eastAsia="uk-UA"/>
        </w:rPr>
        <w:t>В.о. керівника військово-цивільної</w:t>
      </w:r>
    </w:p>
    <w:p>
      <w:pPr>
        <w:pStyle w:val="Normal"/>
        <w:ind w:left="0" w:right="0" w:firstLine="709"/>
        <w:jc w:val="both"/>
        <w:rPr>
          <w:sz w:val="24"/>
          <w:szCs w:val="24"/>
          <w:lang w:eastAsia="uk-UA"/>
        </w:rPr>
      </w:pPr>
      <w:r>
        <w:rPr>
          <w:sz w:val="24"/>
          <w:szCs w:val="24"/>
          <w:lang w:eastAsia="uk-UA"/>
        </w:rPr>
        <w:t>адміністрації міста Авдіївка Донецької</w:t>
      </w:r>
    </w:p>
    <w:p>
      <w:pPr>
        <w:pStyle w:val="Normal"/>
        <w:tabs>
          <w:tab w:val="clear" w:pos="708"/>
          <w:tab w:val="left" w:pos="8500" w:leader="none"/>
        </w:tabs>
        <w:ind w:left="0" w:right="0" w:firstLine="709"/>
        <w:jc w:val="both"/>
        <w:rPr>
          <w:sz w:val="24"/>
          <w:szCs w:val="24"/>
          <w:lang w:eastAsia="uk-UA"/>
        </w:rPr>
      </w:pPr>
      <w:r>
        <w:rPr>
          <w:sz w:val="24"/>
          <w:szCs w:val="24"/>
          <w:lang w:eastAsia="uk-UA"/>
        </w:rPr>
        <w:t>області</w:t>
        <w:tab/>
        <w:t>Р. Шахов</w:t>
      </w:r>
    </w:p>
    <w:p>
      <w:pPr>
        <w:pStyle w:val="Normal"/>
        <w:ind w:left="0" w:right="0" w:firstLine="708"/>
        <w:rPr>
          <w:sz w:val="24"/>
          <w:szCs w:val="24"/>
          <w:lang w:eastAsia="uk-UA"/>
        </w:rPr>
      </w:pPr>
      <w:r>
        <w:rPr>
          <w:sz w:val="24"/>
          <w:szCs w:val="24"/>
          <w:lang w:eastAsia="uk-UA"/>
        </w:rPr>
      </w:r>
    </w:p>
    <w:p>
      <w:pPr>
        <w:sectPr>
          <w:type w:val="nextPage"/>
          <w:pgSz w:w="11906" w:h="16838"/>
          <w:pgMar w:left="540" w:right="540" w:header="0" w:top="1134" w:footer="0" w:bottom="1134" w:gutter="0"/>
          <w:pgNumType w:fmt="decimal"/>
          <w:formProt w:val="false"/>
          <w:textDirection w:val="lrTb"/>
          <w:docGrid w:type="default" w:linePitch="360" w:charSpace="0"/>
        </w:sectPr>
        <w:pStyle w:val="Normal"/>
        <w:pageBreakBefore w:val="false"/>
        <w:ind w:left="0" w:right="0" w:firstLine="708"/>
        <w:rPr>
          <w:sz w:val="24"/>
          <w:szCs w:val="24"/>
          <w:lang w:eastAsia="uk-UA"/>
        </w:rPr>
      </w:pPr>
      <w:r>
        <w:rPr>
          <w:sz w:val="24"/>
          <w:szCs w:val="24"/>
          <w:lang w:eastAsia="uk-UA"/>
        </w:rPr>
      </w:r>
    </w:p>
    <w:p>
      <w:pPr>
        <w:pStyle w:val="Normal"/>
        <w:jc w:val="right"/>
        <w:rPr/>
      </w:pPr>
      <w:r>
        <w:rPr>
          <w:rStyle w:val="Rvts0"/>
        </w:rPr>
        <w:t>Додаток 1</w:t>
      </w:r>
    </w:p>
    <w:p>
      <w:pPr>
        <w:pStyle w:val="Normal"/>
        <w:jc w:val="center"/>
        <w:rPr/>
      </w:pPr>
      <w:r>
        <w:rPr>
          <w:rStyle w:val="Rvts0"/>
          <w:b/>
        </w:rPr>
        <w:t>ДОВІДКА ПРО КОНСУЛЬТАЦІЇ</w:t>
      </w:r>
    </w:p>
    <w:p>
      <w:pPr>
        <w:pStyle w:val="Normal"/>
        <w:jc w:val="center"/>
        <w:rPr/>
      </w:pPr>
      <w:r>
        <w:rPr/>
      </w:r>
    </w:p>
    <w:tbl>
      <w:tblPr>
        <w:tblW w:w="15055" w:type="dxa"/>
        <w:jc w:val="left"/>
        <w:tblInd w:w="235" w:type="dxa"/>
        <w:tblCellMar>
          <w:top w:w="0" w:type="dxa"/>
          <w:left w:w="108" w:type="dxa"/>
          <w:bottom w:w="0" w:type="dxa"/>
          <w:right w:w="108" w:type="dxa"/>
        </w:tblCellMar>
      </w:tblPr>
      <w:tblGrid>
        <w:gridCol w:w="425"/>
        <w:gridCol w:w="2127"/>
        <w:gridCol w:w="2552"/>
        <w:gridCol w:w="4252"/>
        <w:gridCol w:w="1559"/>
        <w:gridCol w:w="4140"/>
      </w:tblGrid>
      <w:tr>
        <w:trPr>
          <w:trHeight w:val="1220" w:hRule="atLeast"/>
        </w:trPr>
        <w:tc>
          <w:tcPr>
            <w:tcW w:w="425" w:type="dxa"/>
            <w:tcBorders>
              <w:top w:val="single" w:sz="4" w:space="0" w:color="000000"/>
              <w:left w:val="single" w:sz="4" w:space="0" w:color="000000"/>
              <w:bottom w:val="single" w:sz="4" w:space="0" w:color="000000"/>
            </w:tcBorders>
          </w:tcPr>
          <w:p>
            <w:pPr>
              <w:pStyle w:val="Normal"/>
              <w:rPr>
                <w:b/>
                <w:b/>
                <w:sz w:val="20"/>
                <w:szCs w:val="20"/>
              </w:rPr>
            </w:pPr>
            <w:r>
              <w:rPr>
                <w:b/>
                <w:sz w:val="20"/>
                <w:szCs w:val="20"/>
              </w:rPr>
              <w:t>№</w:t>
            </w:r>
          </w:p>
          <w:p>
            <w:pPr>
              <w:pStyle w:val="Normal"/>
              <w:rPr>
                <w:b/>
                <w:b/>
                <w:sz w:val="20"/>
                <w:szCs w:val="20"/>
              </w:rPr>
            </w:pPr>
            <w:r>
              <w:rPr>
                <w:b/>
                <w:sz w:val="20"/>
                <w:szCs w:val="20"/>
              </w:rPr>
              <w:t>з/п</w:t>
            </w:r>
          </w:p>
          <w:p>
            <w:pPr>
              <w:pStyle w:val="Normal"/>
              <w:jc w:val="center"/>
              <w:rPr>
                <w:b/>
                <w:b/>
                <w:sz w:val="20"/>
                <w:szCs w:val="20"/>
              </w:rPr>
            </w:pPr>
            <w:r>
              <w:rPr>
                <w:b/>
                <w:sz w:val="20"/>
                <w:szCs w:val="20"/>
              </w:rPr>
            </w:r>
          </w:p>
          <w:p>
            <w:pPr>
              <w:pStyle w:val="Normal"/>
              <w:jc w:val="center"/>
              <w:rPr>
                <w:b/>
                <w:b/>
                <w:sz w:val="20"/>
                <w:szCs w:val="20"/>
              </w:rPr>
            </w:pPr>
            <w:r>
              <w:rPr>
                <w:b/>
                <w:sz w:val="20"/>
                <w:szCs w:val="20"/>
              </w:rPr>
            </w:r>
          </w:p>
        </w:tc>
        <w:tc>
          <w:tcPr>
            <w:tcW w:w="2127" w:type="dxa"/>
            <w:tcBorders>
              <w:top w:val="single" w:sz="4" w:space="0" w:color="000000"/>
              <w:left w:val="single" w:sz="4" w:space="0" w:color="000000"/>
              <w:bottom w:val="single" w:sz="4" w:space="0" w:color="000000"/>
            </w:tcBorders>
          </w:tcPr>
          <w:p>
            <w:pPr>
              <w:pStyle w:val="Normal"/>
              <w:jc w:val="center"/>
              <w:rPr>
                <w:b/>
                <w:b/>
                <w:sz w:val="20"/>
                <w:szCs w:val="20"/>
              </w:rPr>
            </w:pPr>
            <w:r>
              <w:rPr>
                <w:b/>
                <w:sz w:val="20"/>
                <w:szCs w:val="20"/>
              </w:rPr>
              <w:t xml:space="preserve">Уповноважений </w:t>
            </w:r>
          </w:p>
          <w:p>
            <w:pPr>
              <w:pStyle w:val="Normal"/>
              <w:jc w:val="center"/>
              <w:rPr>
                <w:b/>
                <w:b/>
                <w:sz w:val="20"/>
                <w:szCs w:val="20"/>
              </w:rPr>
            </w:pPr>
            <w:r>
              <w:rPr>
                <w:b/>
                <w:sz w:val="20"/>
                <w:szCs w:val="20"/>
              </w:rPr>
              <w:t>орган</w:t>
            </w:r>
          </w:p>
        </w:tc>
        <w:tc>
          <w:tcPr>
            <w:tcW w:w="2552" w:type="dxa"/>
            <w:tcBorders>
              <w:top w:val="single" w:sz="4" w:space="0" w:color="000000"/>
              <w:left w:val="single" w:sz="4" w:space="0" w:color="000000"/>
              <w:bottom w:val="single" w:sz="4" w:space="0" w:color="000000"/>
            </w:tcBorders>
          </w:tcPr>
          <w:p>
            <w:pPr>
              <w:pStyle w:val="Normal"/>
              <w:jc w:val="center"/>
              <w:rPr>
                <w:b/>
                <w:b/>
                <w:sz w:val="20"/>
                <w:szCs w:val="20"/>
              </w:rPr>
            </w:pPr>
            <w:r>
              <w:rPr>
                <w:b/>
                <w:sz w:val="20"/>
                <w:szCs w:val="20"/>
              </w:rPr>
              <w:t>Редакція частини проекту ДДП /звіту про СЕО, до якого висловлене зауваження (пропозиції)</w:t>
            </w:r>
          </w:p>
        </w:tc>
        <w:tc>
          <w:tcPr>
            <w:tcW w:w="4252" w:type="dxa"/>
            <w:tcBorders>
              <w:top w:val="single" w:sz="4" w:space="0" w:color="000000"/>
              <w:left w:val="single" w:sz="4" w:space="0" w:color="000000"/>
              <w:bottom w:val="single" w:sz="4" w:space="0" w:color="000000"/>
            </w:tcBorders>
          </w:tcPr>
          <w:p>
            <w:pPr>
              <w:pStyle w:val="Normal"/>
              <w:jc w:val="center"/>
              <w:rPr>
                <w:b/>
                <w:b/>
                <w:sz w:val="20"/>
                <w:szCs w:val="20"/>
              </w:rPr>
            </w:pPr>
            <w:r>
              <w:rPr>
                <w:b/>
                <w:sz w:val="20"/>
                <w:szCs w:val="20"/>
              </w:rPr>
              <w:t>Зауваження/пропозиції</w:t>
            </w:r>
          </w:p>
        </w:tc>
        <w:tc>
          <w:tcPr>
            <w:tcW w:w="1559" w:type="dxa"/>
            <w:tcBorders>
              <w:top w:val="single" w:sz="4" w:space="0" w:color="000000"/>
              <w:left w:val="single" w:sz="4" w:space="0" w:color="000000"/>
              <w:bottom w:val="single" w:sz="4" w:space="0" w:color="000000"/>
            </w:tcBorders>
          </w:tcPr>
          <w:p>
            <w:pPr>
              <w:pStyle w:val="Normal"/>
              <w:ind w:left="-108" w:right="-108" w:hanging="0"/>
              <w:jc w:val="center"/>
              <w:rPr>
                <w:b/>
                <w:b/>
                <w:sz w:val="20"/>
                <w:szCs w:val="20"/>
              </w:rPr>
            </w:pPr>
            <w:r>
              <w:rPr>
                <w:b/>
                <w:sz w:val="20"/>
                <w:szCs w:val="20"/>
              </w:rPr>
              <w:t>Спосіб врахування (враховано/</w:t>
            </w:r>
          </w:p>
          <w:p>
            <w:pPr>
              <w:pStyle w:val="Normal"/>
              <w:ind w:left="-108" w:right="-108" w:hanging="0"/>
              <w:jc w:val="center"/>
              <w:rPr>
                <w:b/>
                <w:b/>
                <w:sz w:val="20"/>
                <w:szCs w:val="20"/>
              </w:rPr>
            </w:pPr>
            <w:r>
              <w:rPr>
                <w:b/>
                <w:sz w:val="20"/>
                <w:szCs w:val="20"/>
              </w:rPr>
              <w:t>не враховано/</w:t>
            </w:r>
          </w:p>
          <w:p>
            <w:pPr>
              <w:pStyle w:val="Normal"/>
              <w:ind w:left="-108" w:right="-108" w:hanging="0"/>
              <w:jc w:val="center"/>
              <w:rPr>
                <w:b/>
                <w:b/>
                <w:sz w:val="20"/>
                <w:szCs w:val="20"/>
              </w:rPr>
            </w:pPr>
            <w:r>
              <w:rPr>
                <w:b/>
                <w:sz w:val="20"/>
                <w:szCs w:val="20"/>
              </w:rPr>
              <w:t>враховано частково</w:t>
            </w:r>
          </w:p>
        </w:tc>
        <w:tc>
          <w:tcPr>
            <w:tcW w:w="4140" w:type="dxa"/>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rPr>
            </w:pPr>
            <w:r>
              <w:rPr>
                <w:b/>
                <w:sz w:val="20"/>
                <w:szCs w:val="20"/>
              </w:rPr>
              <w:t>Обґрунтування</w:t>
            </w:r>
          </w:p>
        </w:tc>
      </w:tr>
      <w:tr>
        <w:trPr>
          <w:trHeight w:val="196" w:hRule="atLeast"/>
        </w:trPr>
        <w:tc>
          <w:tcPr>
            <w:tcW w:w="15055" w:type="dxa"/>
            <w:gridSpan w:val="6"/>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rPr>
            </w:pPr>
            <w:r>
              <w:rPr>
                <w:b/>
                <w:sz w:val="20"/>
                <w:szCs w:val="20"/>
              </w:rPr>
              <w:t>До проекту ДДП</w:t>
            </w:r>
          </w:p>
        </w:tc>
      </w:tr>
      <w:tr>
        <w:trPr>
          <w:trHeight w:val="463" w:hRule="atLeast"/>
        </w:trPr>
        <w:tc>
          <w:tcPr>
            <w:tcW w:w="425" w:type="dxa"/>
            <w:vMerge w:val="restart"/>
            <w:tcBorders>
              <w:top w:val="single" w:sz="4" w:space="0" w:color="000000"/>
              <w:left w:val="single" w:sz="4" w:space="0" w:color="000000"/>
              <w:bottom w:val="single" w:sz="4" w:space="0" w:color="000000"/>
            </w:tcBorders>
          </w:tcPr>
          <w:p>
            <w:pPr>
              <w:pStyle w:val="Normal"/>
              <w:jc w:val="both"/>
              <w:rPr>
                <w:color w:val="000000"/>
                <w:sz w:val="20"/>
                <w:szCs w:val="20"/>
              </w:rPr>
            </w:pPr>
            <w:r>
              <w:rPr>
                <w:color w:val="000000"/>
                <w:sz w:val="20"/>
                <w:szCs w:val="20"/>
              </w:rPr>
              <w:t>1</w:t>
            </w:r>
          </w:p>
        </w:tc>
        <w:tc>
          <w:tcPr>
            <w:tcW w:w="2127" w:type="dxa"/>
            <w:vMerge w:val="restart"/>
            <w:tcBorders>
              <w:top w:val="single" w:sz="4" w:space="0" w:color="000000"/>
              <w:left w:val="single" w:sz="4" w:space="0" w:color="000000"/>
              <w:bottom w:val="single" w:sz="4" w:space="0" w:color="000000"/>
            </w:tcBorders>
          </w:tcPr>
          <w:p>
            <w:pPr>
              <w:pStyle w:val="Normal"/>
              <w:rPr/>
            </w:pPr>
            <w:r>
              <w:rPr>
                <w:rStyle w:val="Rvts0"/>
                <w:sz w:val="20"/>
                <w:szCs w:val="20"/>
              </w:rPr>
              <w:t>Департамент екології та природних ресурсів Донецької обласної державної адміністрації</w:t>
            </w:r>
          </w:p>
        </w:tc>
        <w:tc>
          <w:tcPr>
            <w:tcW w:w="2552" w:type="dxa"/>
            <w:tcBorders>
              <w:top w:val="single" w:sz="4" w:space="0" w:color="000000"/>
              <w:left w:val="single" w:sz="4" w:space="0" w:color="000000"/>
              <w:bottom w:val="single" w:sz="4" w:space="0" w:color="000000"/>
            </w:tcBorders>
          </w:tcPr>
          <w:p>
            <w:pPr>
              <w:pStyle w:val="Default"/>
              <w:bidi w:val="0"/>
              <w:snapToGrid w:val="false"/>
              <w:ind w:left="0" w:right="0" w:firstLine="176"/>
              <w:jc w:val="both"/>
              <w:rPr>
                <w:color w:val="000000"/>
                <w:sz w:val="20"/>
                <w:szCs w:val="20"/>
                <w:lang w:val="uk-UA"/>
              </w:rPr>
            </w:pPr>
            <w:r>
              <w:rPr>
                <w:color w:val="000000"/>
                <w:sz w:val="20"/>
                <w:szCs w:val="20"/>
                <w:lang w:val="uk-UA"/>
              </w:rPr>
            </w:r>
          </w:p>
        </w:tc>
        <w:tc>
          <w:tcPr>
            <w:tcW w:w="4252" w:type="dxa"/>
            <w:tcBorders>
              <w:top w:val="single" w:sz="4" w:space="0" w:color="000000"/>
              <w:left w:val="single" w:sz="4" w:space="0" w:color="000000"/>
              <w:bottom w:val="single" w:sz="4" w:space="0" w:color="000000"/>
            </w:tcBorders>
          </w:tcPr>
          <w:p>
            <w:pPr>
              <w:pStyle w:val="Normal"/>
              <w:jc w:val="both"/>
              <w:rPr>
                <w:sz w:val="20"/>
                <w:szCs w:val="20"/>
              </w:rPr>
            </w:pPr>
            <w:r>
              <w:rPr>
                <w:sz w:val="20"/>
                <w:szCs w:val="20"/>
              </w:rPr>
              <w:t>Зміст пояснювальної записки не містить повного переліку наявних пунктів основних розділів даного проекту документу.</w:t>
            </w:r>
          </w:p>
        </w:tc>
        <w:tc>
          <w:tcPr>
            <w:tcW w:w="1559" w:type="dxa"/>
            <w:tcBorders>
              <w:top w:val="single" w:sz="4" w:space="0" w:color="000000"/>
              <w:left w:val="single" w:sz="4" w:space="0" w:color="000000"/>
              <w:bottom w:val="single" w:sz="4" w:space="0" w:color="000000"/>
            </w:tcBorders>
          </w:tcPr>
          <w:p>
            <w:pPr>
              <w:pStyle w:val="Normal"/>
              <w:jc w:val="center"/>
              <w:rPr>
                <w:color w:val="000000"/>
                <w:sz w:val="20"/>
                <w:szCs w:val="20"/>
              </w:rPr>
            </w:pPr>
            <w:r>
              <w:rPr>
                <w:color w:val="000000"/>
                <w:sz w:val="20"/>
                <w:szCs w:val="20"/>
              </w:rPr>
              <w:t>Не враховано</w:t>
            </w:r>
          </w:p>
        </w:tc>
        <w:tc>
          <w:tcPr>
            <w:tcW w:w="4140" w:type="dxa"/>
            <w:tcBorders>
              <w:top w:val="single" w:sz="4" w:space="0" w:color="000000"/>
              <w:left w:val="single" w:sz="4" w:space="0" w:color="000000"/>
              <w:bottom w:val="single" w:sz="4" w:space="0" w:color="000000"/>
              <w:right w:val="single" w:sz="4" w:space="0" w:color="000000"/>
            </w:tcBorders>
          </w:tcPr>
          <w:p>
            <w:pPr>
              <w:pStyle w:val="Normal"/>
              <w:jc w:val="both"/>
              <w:rPr/>
            </w:pPr>
            <w:r>
              <w:rPr>
                <w:sz w:val="20"/>
                <w:szCs w:val="20"/>
              </w:rPr>
              <w:t xml:space="preserve">Зміст пояснювальної записки генерального плану відповідає вимогам п. 3.1 ДБН Б.1.1-15:2012 «Склад та зміст генерального плану населеного пункту». </w:t>
            </w:r>
          </w:p>
        </w:tc>
      </w:tr>
      <w:tr>
        <w:trPr>
          <w:trHeight w:val="463" w:hRule="atLeast"/>
        </w:trPr>
        <w:tc>
          <w:tcPr>
            <w:tcW w:w="425" w:type="dxa"/>
            <w:vMerge w:val="continue"/>
            <w:tcBorders>
              <w:top w:val="single" w:sz="4" w:space="0" w:color="000000"/>
              <w:left w:val="single" w:sz="4" w:space="0" w:color="000000"/>
              <w:bottom w:val="single" w:sz="4" w:space="0" w:color="000000"/>
            </w:tcBorders>
          </w:tcPr>
          <w:p>
            <w:pPr>
              <w:pStyle w:val="Normal"/>
              <w:snapToGrid w:val="false"/>
              <w:jc w:val="both"/>
              <w:rPr>
                <w:color w:val="000000"/>
                <w:sz w:val="20"/>
                <w:szCs w:val="20"/>
                <w:highlight w:val="lightGray"/>
              </w:rPr>
            </w:pPr>
            <w:r>
              <w:rPr>
                <w:color w:val="000000"/>
                <w:sz w:val="20"/>
                <w:szCs w:val="20"/>
                <w:highlight w:val="lightGray"/>
              </w:rPr>
            </w:r>
          </w:p>
        </w:tc>
        <w:tc>
          <w:tcPr>
            <w:tcW w:w="2127"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highlight w:val="lightGray"/>
              </w:rPr>
            </w:pPr>
            <w:r>
              <w:rPr>
                <w:color w:val="000000"/>
                <w:sz w:val="20"/>
                <w:szCs w:val="20"/>
                <w:highlight w:val="lightGray"/>
              </w:rPr>
            </w:r>
          </w:p>
        </w:tc>
        <w:tc>
          <w:tcPr>
            <w:tcW w:w="2552" w:type="dxa"/>
            <w:tcBorders>
              <w:top w:val="single" w:sz="4" w:space="0" w:color="000000"/>
              <w:left w:val="single" w:sz="4" w:space="0" w:color="000000"/>
              <w:bottom w:val="single" w:sz="4" w:space="0" w:color="000000"/>
            </w:tcBorders>
          </w:tcPr>
          <w:p>
            <w:pPr>
              <w:pStyle w:val="Default"/>
              <w:bidi w:val="0"/>
              <w:snapToGrid w:val="false"/>
              <w:ind w:left="0" w:right="0" w:firstLine="176"/>
              <w:jc w:val="both"/>
              <w:rPr>
                <w:color w:val="000000"/>
                <w:sz w:val="20"/>
                <w:szCs w:val="20"/>
                <w:highlight w:val="lightGray"/>
              </w:rPr>
            </w:pPr>
            <w:r>
              <w:rPr>
                <w:color w:val="000000"/>
                <w:sz w:val="20"/>
                <w:szCs w:val="20"/>
                <w:highlight w:val="lightGray"/>
              </w:rPr>
            </w:r>
          </w:p>
        </w:tc>
        <w:tc>
          <w:tcPr>
            <w:tcW w:w="4252" w:type="dxa"/>
            <w:tcBorders>
              <w:top w:val="single" w:sz="4" w:space="0" w:color="000000"/>
              <w:left w:val="single" w:sz="4" w:space="0" w:color="000000"/>
              <w:bottom w:val="single" w:sz="4" w:space="0" w:color="000000"/>
            </w:tcBorders>
          </w:tcPr>
          <w:p>
            <w:pPr>
              <w:pStyle w:val="Normal"/>
              <w:jc w:val="both"/>
              <w:rPr>
                <w:sz w:val="20"/>
                <w:szCs w:val="20"/>
              </w:rPr>
            </w:pPr>
            <w:r>
              <w:rPr>
                <w:sz w:val="20"/>
                <w:szCs w:val="20"/>
              </w:rPr>
              <w:t>У підпункті «Планувальні обмеження» пункту «Аналіз відомостей про стан навколишнього природного середовища» надана інформація щодо розмірів санітарно-захисних зон (далі - СЗЗ) не для всіх підприємств, позначених на графічних матеріалах. Не визначено розміри СЗЗ наявних котелень.</w:t>
            </w:r>
          </w:p>
        </w:tc>
        <w:tc>
          <w:tcPr>
            <w:tcW w:w="1559" w:type="dxa"/>
            <w:tcBorders>
              <w:top w:val="single" w:sz="4" w:space="0" w:color="000000"/>
              <w:left w:val="single" w:sz="4" w:space="0" w:color="000000"/>
              <w:bottom w:val="single" w:sz="4" w:space="0" w:color="000000"/>
            </w:tcBorders>
          </w:tcPr>
          <w:p>
            <w:pPr>
              <w:pStyle w:val="Normal"/>
              <w:jc w:val="center"/>
              <w:rPr>
                <w:sz w:val="20"/>
                <w:szCs w:val="20"/>
              </w:rPr>
            </w:pPr>
            <w:r>
              <w:rPr>
                <w:sz w:val="20"/>
                <w:szCs w:val="20"/>
              </w:rPr>
              <w:t>Враховано частково</w:t>
            </w:r>
          </w:p>
        </w:tc>
        <w:tc>
          <w:tcPr>
            <w:tcW w:w="4140"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szCs w:val="20"/>
              </w:rPr>
              <w:t xml:space="preserve">В пояснювальній записці не надавалась інформація лише про розміри санітарно-захисних зон, що відносяться до одного класу шкідливості (IV та V класи) та мають однакові параметри санітарно-захисних зон (100 та 50 метрів). В пояснювальній записці зазначена галузева направленість підприємств (вид діяльності) по IV та V класах шкідливості.  </w:t>
            </w:r>
          </w:p>
          <w:p>
            <w:pPr>
              <w:pStyle w:val="Normal"/>
              <w:jc w:val="both"/>
              <w:rPr>
                <w:sz w:val="20"/>
                <w:szCs w:val="20"/>
              </w:rPr>
            </w:pPr>
            <w:r>
              <w:rPr>
                <w:sz w:val="20"/>
                <w:szCs w:val="20"/>
              </w:rPr>
              <w:t xml:space="preserve">До пояснювальної записки генерального плану, до підрозділу «Планувальні обмеження», внесені доповнення наступної редакції: </w:t>
            </w:r>
          </w:p>
          <w:p>
            <w:pPr>
              <w:pStyle w:val="Normal"/>
              <w:keepLines/>
              <w:jc w:val="both"/>
              <w:rPr>
                <w:sz w:val="20"/>
                <w:szCs w:val="20"/>
              </w:rPr>
            </w:pPr>
            <w:r>
              <w:rPr>
                <w:sz w:val="20"/>
                <w:szCs w:val="20"/>
              </w:rPr>
              <w:t>«До підприємств IV класу відносяться:             ТДВ «Авдіївський завод буддеталь»,                   МП ТОВ «Дослідне виробництво» (транспортний цех), ТОВ «Прогрес», АТП, ТОВ «Леман бетон», ТОВ «Істок», Цех шлакоблоків, Структурний підрозділ «Авдіївський експериментальний завод».</w:t>
            </w:r>
          </w:p>
          <w:p>
            <w:pPr>
              <w:pStyle w:val="Normal"/>
              <w:keepLines/>
              <w:jc w:val="both"/>
              <w:rPr>
                <w:sz w:val="20"/>
                <w:szCs w:val="20"/>
              </w:rPr>
            </w:pPr>
            <w:r>
              <w:rPr>
                <w:sz w:val="20"/>
                <w:szCs w:val="20"/>
              </w:rPr>
              <w:t>До підприємств V класу відносяться: Хлібозавод, ТОВ «Металл-ліга»,                     ПРАТ «Авдіївський завод металевих конструкцій», ТОВ «Донхолдінг» (столярний цех), Авдіївська фабрика «АГАТ» (трикотажні вироби) та інші.».</w:t>
            </w:r>
          </w:p>
          <w:p>
            <w:pPr>
              <w:pStyle w:val="Normal"/>
              <w:keepLines/>
              <w:jc w:val="both"/>
              <w:rPr>
                <w:sz w:val="20"/>
                <w:szCs w:val="20"/>
              </w:rPr>
            </w:pPr>
            <w:r>
              <w:rPr>
                <w:sz w:val="20"/>
                <w:szCs w:val="20"/>
              </w:rPr>
              <w:t>Також зазначені доповнення внесені до розділу 5.3 Звіту про СЕО.</w:t>
            </w:r>
          </w:p>
          <w:p>
            <w:pPr>
              <w:pStyle w:val="Normal"/>
              <w:jc w:val="both"/>
              <w:rPr/>
            </w:pPr>
            <w:r>
              <w:rPr>
                <w:sz w:val="20"/>
                <w:szCs w:val="20"/>
              </w:rPr>
              <w:t>Щодо розмірів СЗЗ котелень слід зазначити, що джерелом централізованого теплопостачання житлово</w:t>
            </w:r>
            <w:r>
              <w:rPr>
                <w:b/>
                <w:sz w:val="20"/>
                <w:szCs w:val="20"/>
              </w:rPr>
              <w:t>-</w:t>
            </w:r>
            <w:r>
              <w:rPr>
                <w:sz w:val="20"/>
                <w:szCs w:val="20"/>
              </w:rPr>
              <w:t>комунального сектору міста є ТЕЦ ПрАТ «АКХЗ». Її СЗЗ входить в комплексну СЗЗ головної виробничої ділянки підприємства. Інші наявні котельні є малопотужними котельнями відомчого підпорядкування, що обслуговують переважно заклади освіти. Відповідно ДСП № 173-96 СЗЗ котелень не нормуються. Вони можуть бути в складі проектної документації на будівництво об’єктів, з метою дотримання на стадії визначення місця розміщення будівель та споруд, що не відноситься до завдань містобудівної документації стадії генеральний план населеного пункту.</w:t>
            </w:r>
          </w:p>
        </w:tc>
      </w:tr>
      <w:tr>
        <w:trPr>
          <w:trHeight w:val="463" w:hRule="atLeast"/>
        </w:trPr>
        <w:tc>
          <w:tcPr>
            <w:tcW w:w="425" w:type="dxa"/>
            <w:vMerge w:val="continue"/>
            <w:tcBorders>
              <w:top w:val="single" w:sz="4" w:space="0" w:color="000000"/>
              <w:left w:val="single" w:sz="4" w:space="0" w:color="000000"/>
              <w:bottom w:val="single" w:sz="4" w:space="0" w:color="000000"/>
            </w:tcBorders>
          </w:tcPr>
          <w:p>
            <w:pPr>
              <w:pStyle w:val="Normal"/>
              <w:snapToGrid w:val="false"/>
              <w:jc w:val="both"/>
              <w:rPr>
                <w:color w:val="000000"/>
                <w:sz w:val="20"/>
                <w:szCs w:val="20"/>
                <w:highlight w:val="lightGray"/>
              </w:rPr>
            </w:pPr>
            <w:r>
              <w:rPr>
                <w:color w:val="000000"/>
                <w:sz w:val="20"/>
                <w:szCs w:val="20"/>
                <w:highlight w:val="lightGray"/>
              </w:rPr>
            </w:r>
          </w:p>
        </w:tc>
        <w:tc>
          <w:tcPr>
            <w:tcW w:w="2127"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highlight w:val="lightGray"/>
              </w:rPr>
            </w:pPr>
            <w:r>
              <w:rPr>
                <w:color w:val="000000"/>
                <w:sz w:val="20"/>
                <w:szCs w:val="20"/>
                <w:highlight w:val="lightGray"/>
              </w:rPr>
            </w:r>
          </w:p>
        </w:tc>
        <w:tc>
          <w:tcPr>
            <w:tcW w:w="2552" w:type="dxa"/>
            <w:tcBorders>
              <w:top w:val="single" w:sz="4" w:space="0" w:color="000000"/>
              <w:left w:val="single" w:sz="4" w:space="0" w:color="000000"/>
              <w:bottom w:val="single" w:sz="4" w:space="0" w:color="000000"/>
            </w:tcBorders>
          </w:tcPr>
          <w:p>
            <w:pPr>
              <w:pStyle w:val="Default"/>
              <w:bidi w:val="0"/>
              <w:snapToGrid w:val="false"/>
              <w:ind w:left="0" w:right="0" w:firstLine="176"/>
              <w:jc w:val="both"/>
              <w:rPr>
                <w:color w:val="000000"/>
                <w:sz w:val="20"/>
                <w:szCs w:val="20"/>
                <w:highlight w:val="lightGray"/>
              </w:rPr>
            </w:pPr>
            <w:r>
              <w:rPr>
                <w:color w:val="000000"/>
                <w:sz w:val="20"/>
                <w:szCs w:val="20"/>
                <w:highlight w:val="lightGray"/>
              </w:rPr>
            </w:r>
          </w:p>
        </w:tc>
        <w:tc>
          <w:tcPr>
            <w:tcW w:w="4252" w:type="dxa"/>
            <w:tcBorders>
              <w:top w:val="single" w:sz="4" w:space="0" w:color="000000"/>
              <w:left w:val="single" w:sz="4" w:space="0" w:color="000000"/>
              <w:bottom w:val="single" w:sz="4" w:space="0" w:color="000000"/>
            </w:tcBorders>
          </w:tcPr>
          <w:p>
            <w:pPr>
              <w:pStyle w:val="Normal"/>
              <w:jc w:val="both"/>
              <w:rPr>
                <w:sz w:val="20"/>
                <w:szCs w:val="20"/>
              </w:rPr>
            </w:pPr>
            <w:r>
              <w:rPr>
                <w:sz w:val="20"/>
                <w:szCs w:val="20"/>
              </w:rPr>
              <w:t>Підпункт «Теплопостачання» пункту «Інженерно-транспортна інфраструктура» необхідно доповнити інформацією щодо наявності малопотужних котелень, розташованих в сельбищній зоні, надати їх характеристику.</w:t>
            </w:r>
          </w:p>
        </w:tc>
        <w:tc>
          <w:tcPr>
            <w:tcW w:w="1559" w:type="dxa"/>
            <w:tcBorders>
              <w:top w:val="single" w:sz="4" w:space="0" w:color="000000"/>
              <w:left w:val="single" w:sz="4" w:space="0" w:color="000000"/>
              <w:bottom w:val="single" w:sz="4" w:space="0" w:color="000000"/>
            </w:tcBorders>
          </w:tcPr>
          <w:p>
            <w:pPr>
              <w:pStyle w:val="Normal"/>
              <w:jc w:val="center"/>
              <w:rPr>
                <w:color w:val="000000"/>
                <w:sz w:val="20"/>
                <w:szCs w:val="20"/>
              </w:rPr>
            </w:pPr>
            <w:r>
              <w:rPr>
                <w:color w:val="000000"/>
                <w:sz w:val="20"/>
                <w:szCs w:val="20"/>
              </w:rPr>
              <w:t>Не враховано</w:t>
            </w:r>
          </w:p>
        </w:tc>
        <w:tc>
          <w:tcPr>
            <w:tcW w:w="4140" w:type="dxa"/>
            <w:tcBorders>
              <w:top w:val="single" w:sz="4" w:space="0" w:color="000000"/>
              <w:left w:val="single" w:sz="4" w:space="0" w:color="000000"/>
              <w:bottom w:val="single" w:sz="4" w:space="0" w:color="000000"/>
              <w:right w:val="single" w:sz="4" w:space="0" w:color="000000"/>
            </w:tcBorders>
          </w:tcPr>
          <w:p>
            <w:pPr>
              <w:pStyle w:val="Normal"/>
              <w:jc w:val="both"/>
              <w:rPr/>
            </w:pPr>
            <w:r>
              <w:rPr>
                <w:sz w:val="20"/>
                <w:szCs w:val="20"/>
              </w:rPr>
              <w:t>Джерелом централізованого теплопостачан-ня житлово</w:t>
            </w:r>
            <w:r>
              <w:rPr>
                <w:b/>
                <w:sz w:val="20"/>
                <w:szCs w:val="20"/>
              </w:rPr>
              <w:t>-</w:t>
            </w:r>
            <w:r>
              <w:rPr>
                <w:sz w:val="20"/>
                <w:szCs w:val="20"/>
              </w:rPr>
              <w:t>комунального сектору міста є ТЕЦ ПрАТ «АКХЗ».</w:t>
            </w:r>
          </w:p>
          <w:p>
            <w:pPr>
              <w:pStyle w:val="Normal"/>
              <w:jc w:val="both"/>
              <w:rPr/>
            </w:pPr>
            <w:r>
              <w:rPr>
                <w:sz w:val="20"/>
                <w:szCs w:val="20"/>
              </w:rPr>
              <w:t>Малопотужні котельні в сельбищній зоні є локальними об’єктами та не підлягають відображенню згідно з пунктом п.5.5.8 ДБН Б.1.1-15:2012 Склад та зміст генерального плану населеного пункту.</w:t>
            </w:r>
          </w:p>
        </w:tc>
      </w:tr>
      <w:tr>
        <w:trPr>
          <w:trHeight w:val="463" w:hRule="atLeast"/>
        </w:trPr>
        <w:tc>
          <w:tcPr>
            <w:tcW w:w="425" w:type="dxa"/>
            <w:vMerge w:val="continue"/>
            <w:tcBorders>
              <w:top w:val="single" w:sz="4" w:space="0" w:color="000000"/>
              <w:left w:val="single" w:sz="4" w:space="0" w:color="000000"/>
              <w:bottom w:val="single" w:sz="4" w:space="0" w:color="000000"/>
            </w:tcBorders>
          </w:tcPr>
          <w:p>
            <w:pPr>
              <w:pStyle w:val="Normal"/>
              <w:snapToGrid w:val="false"/>
              <w:jc w:val="both"/>
              <w:rPr>
                <w:b/>
                <w:b/>
                <w:color w:val="000000"/>
                <w:sz w:val="20"/>
                <w:szCs w:val="20"/>
                <w:highlight w:val="lightGray"/>
              </w:rPr>
            </w:pPr>
            <w:r>
              <w:rPr>
                <w:b/>
                <w:color w:val="000000"/>
                <w:sz w:val="20"/>
                <w:szCs w:val="20"/>
                <w:highlight w:val="lightGray"/>
              </w:rPr>
            </w:r>
          </w:p>
        </w:tc>
        <w:tc>
          <w:tcPr>
            <w:tcW w:w="2127" w:type="dxa"/>
            <w:vMerge w:val="continue"/>
            <w:tcBorders>
              <w:top w:val="single" w:sz="4" w:space="0" w:color="000000"/>
              <w:left w:val="single" w:sz="4" w:space="0" w:color="000000"/>
              <w:bottom w:val="single" w:sz="4" w:space="0" w:color="000000"/>
            </w:tcBorders>
          </w:tcPr>
          <w:p>
            <w:pPr>
              <w:pStyle w:val="Normal"/>
              <w:snapToGrid w:val="false"/>
              <w:rPr>
                <w:b/>
                <w:b/>
                <w:color w:val="000000"/>
                <w:sz w:val="20"/>
                <w:szCs w:val="20"/>
                <w:highlight w:val="lightGray"/>
              </w:rPr>
            </w:pPr>
            <w:r>
              <w:rPr>
                <w:b/>
                <w:color w:val="000000"/>
                <w:sz w:val="20"/>
                <w:szCs w:val="20"/>
                <w:highlight w:val="lightGray"/>
              </w:rPr>
            </w:r>
          </w:p>
        </w:tc>
        <w:tc>
          <w:tcPr>
            <w:tcW w:w="2552" w:type="dxa"/>
            <w:tcBorders>
              <w:top w:val="single" w:sz="4" w:space="0" w:color="000000"/>
              <w:left w:val="single" w:sz="4" w:space="0" w:color="000000"/>
              <w:bottom w:val="single" w:sz="4" w:space="0" w:color="000000"/>
            </w:tcBorders>
          </w:tcPr>
          <w:p>
            <w:pPr>
              <w:pStyle w:val="Default"/>
              <w:bidi w:val="0"/>
              <w:snapToGrid w:val="false"/>
              <w:ind w:left="0" w:right="0" w:firstLine="176"/>
              <w:jc w:val="both"/>
              <w:rPr>
                <w:b/>
                <w:b/>
                <w:color w:val="000000"/>
                <w:sz w:val="20"/>
                <w:szCs w:val="20"/>
                <w:highlight w:val="lightGray"/>
              </w:rPr>
            </w:pPr>
            <w:r>
              <w:rPr>
                <w:b/>
                <w:color w:val="000000"/>
                <w:sz w:val="20"/>
                <w:szCs w:val="20"/>
                <w:highlight w:val="lightGray"/>
              </w:rPr>
            </w:r>
          </w:p>
        </w:tc>
        <w:tc>
          <w:tcPr>
            <w:tcW w:w="4252" w:type="dxa"/>
            <w:tcBorders>
              <w:top w:val="single" w:sz="4" w:space="0" w:color="000000"/>
              <w:left w:val="single" w:sz="4" w:space="0" w:color="000000"/>
              <w:bottom w:val="single" w:sz="4" w:space="0" w:color="000000"/>
            </w:tcBorders>
          </w:tcPr>
          <w:p>
            <w:pPr>
              <w:pStyle w:val="Normal"/>
              <w:jc w:val="both"/>
              <w:rPr>
                <w:sz w:val="20"/>
                <w:szCs w:val="20"/>
              </w:rPr>
            </w:pPr>
            <w:r>
              <w:rPr>
                <w:sz w:val="20"/>
                <w:szCs w:val="20"/>
              </w:rPr>
              <w:t>У пункті «Пропозиції щодо охорони навколишнього природного середовища» наявні заходи для існуючих автогазозаправних станцій, для яких не надано характеристики в інших розділах пояснювальної записки.</w:t>
            </w:r>
          </w:p>
        </w:tc>
        <w:tc>
          <w:tcPr>
            <w:tcW w:w="1559" w:type="dxa"/>
            <w:tcBorders>
              <w:top w:val="single" w:sz="4" w:space="0" w:color="000000"/>
              <w:left w:val="single" w:sz="4" w:space="0" w:color="000000"/>
              <w:bottom w:val="single" w:sz="4" w:space="0" w:color="000000"/>
            </w:tcBorders>
          </w:tcPr>
          <w:p>
            <w:pPr>
              <w:pStyle w:val="Normal"/>
              <w:jc w:val="center"/>
              <w:rPr>
                <w:color w:val="000000"/>
                <w:sz w:val="20"/>
                <w:szCs w:val="20"/>
              </w:rPr>
            </w:pPr>
            <w:r>
              <w:rPr>
                <w:color w:val="000000"/>
                <w:sz w:val="20"/>
                <w:szCs w:val="20"/>
              </w:rPr>
              <w:t>Враховано</w:t>
            </w:r>
          </w:p>
        </w:tc>
        <w:tc>
          <w:tcPr>
            <w:tcW w:w="4140"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szCs w:val="20"/>
              </w:rPr>
              <w:t>До пояснювальної записки генплану внесені корегування та доповнення наступної редакції. До підрозділу «Планувальні обмеження», – «Автотранспортні підпри-ємства мають СЗЗ: для АЗС – 50м, для СТО та гаражів – 15-50м. Серед наявних в місті            4 АЗС не дотримана СЗЗ від АЗС на розі           вул. Соборна та вул. Садова. Санітарні відстані від існуючих ділянок розміщення гаражних кооперативів частково не витримуються до житлової забудови.».</w:t>
            </w:r>
          </w:p>
          <w:p>
            <w:pPr>
              <w:pStyle w:val="Normal"/>
              <w:jc w:val="both"/>
              <w:rPr>
                <w:sz w:val="20"/>
                <w:szCs w:val="20"/>
              </w:rPr>
            </w:pPr>
            <w:r>
              <w:rPr>
                <w:sz w:val="20"/>
                <w:szCs w:val="20"/>
              </w:rPr>
              <w:t>До підрозділу «Пропозиції щодо охорони навколишнього природного середовища», на стор. 118 – «для існуючих АЗС, гаражів, та проектних АЗС, СТО, гаражів, автостоянок забезпечити дотримання санітарних розривів та санітарно-захисних зон відповідно до вимог ДСП № 173-96;».</w:t>
            </w:r>
          </w:p>
          <w:p>
            <w:pPr>
              <w:pStyle w:val="Normal"/>
              <w:jc w:val="both"/>
              <w:rPr>
                <w:sz w:val="20"/>
                <w:szCs w:val="20"/>
              </w:rPr>
            </w:pPr>
            <w:r>
              <w:rPr>
                <w:sz w:val="20"/>
                <w:szCs w:val="20"/>
              </w:rPr>
              <w:t>Відповідні корегування також внесені до розділу 5.3 та розділу 7 Звіту про СЕО.</w:t>
            </w:r>
          </w:p>
        </w:tc>
      </w:tr>
      <w:tr>
        <w:trPr>
          <w:trHeight w:val="463" w:hRule="atLeast"/>
        </w:trPr>
        <w:tc>
          <w:tcPr>
            <w:tcW w:w="425" w:type="dxa"/>
            <w:vMerge w:val="continue"/>
            <w:tcBorders>
              <w:top w:val="single" w:sz="4" w:space="0" w:color="000000"/>
              <w:left w:val="single" w:sz="4" w:space="0" w:color="000000"/>
              <w:bottom w:val="single" w:sz="4" w:space="0" w:color="000000"/>
            </w:tcBorders>
          </w:tcPr>
          <w:p>
            <w:pPr>
              <w:pStyle w:val="Normal"/>
              <w:snapToGrid w:val="false"/>
              <w:jc w:val="both"/>
              <w:rPr>
                <w:b/>
                <w:b/>
                <w:color w:val="000000"/>
                <w:sz w:val="20"/>
                <w:szCs w:val="20"/>
                <w:highlight w:val="lightGray"/>
              </w:rPr>
            </w:pPr>
            <w:r>
              <w:rPr>
                <w:b/>
                <w:color w:val="000000"/>
                <w:sz w:val="20"/>
                <w:szCs w:val="20"/>
                <w:highlight w:val="lightGray"/>
              </w:rPr>
            </w:r>
          </w:p>
        </w:tc>
        <w:tc>
          <w:tcPr>
            <w:tcW w:w="2127" w:type="dxa"/>
            <w:vMerge w:val="continue"/>
            <w:tcBorders>
              <w:top w:val="single" w:sz="4" w:space="0" w:color="000000"/>
              <w:left w:val="single" w:sz="4" w:space="0" w:color="000000"/>
              <w:bottom w:val="single" w:sz="4" w:space="0" w:color="000000"/>
            </w:tcBorders>
          </w:tcPr>
          <w:p>
            <w:pPr>
              <w:pStyle w:val="Normal"/>
              <w:snapToGrid w:val="false"/>
              <w:rPr>
                <w:b/>
                <w:b/>
                <w:color w:val="000000"/>
                <w:sz w:val="20"/>
                <w:szCs w:val="20"/>
                <w:highlight w:val="lightGray"/>
              </w:rPr>
            </w:pPr>
            <w:r>
              <w:rPr>
                <w:b/>
                <w:color w:val="000000"/>
                <w:sz w:val="20"/>
                <w:szCs w:val="20"/>
                <w:highlight w:val="lightGray"/>
              </w:rPr>
            </w:r>
          </w:p>
        </w:tc>
        <w:tc>
          <w:tcPr>
            <w:tcW w:w="2552" w:type="dxa"/>
            <w:tcBorders>
              <w:top w:val="single" w:sz="4" w:space="0" w:color="000000"/>
              <w:left w:val="single" w:sz="4" w:space="0" w:color="000000"/>
              <w:bottom w:val="single" w:sz="4" w:space="0" w:color="000000"/>
            </w:tcBorders>
          </w:tcPr>
          <w:p>
            <w:pPr>
              <w:pStyle w:val="Default"/>
              <w:bidi w:val="0"/>
              <w:snapToGrid w:val="false"/>
              <w:ind w:left="0" w:right="0" w:firstLine="176"/>
              <w:jc w:val="both"/>
              <w:rPr>
                <w:b/>
                <w:b/>
                <w:color w:val="000000"/>
                <w:sz w:val="20"/>
                <w:szCs w:val="20"/>
                <w:highlight w:val="lightGray"/>
              </w:rPr>
            </w:pPr>
            <w:r>
              <w:rPr>
                <w:b/>
                <w:color w:val="000000"/>
                <w:sz w:val="20"/>
                <w:szCs w:val="20"/>
                <w:highlight w:val="lightGray"/>
              </w:rPr>
            </w:r>
          </w:p>
        </w:tc>
        <w:tc>
          <w:tcPr>
            <w:tcW w:w="4252" w:type="dxa"/>
            <w:tcBorders>
              <w:top w:val="single" w:sz="4" w:space="0" w:color="000000"/>
              <w:left w:val="single" w:sz="4" w:space="0" w:color="000000"/>
              <w:bottom w:val="single" w:sz="4" w:space="0" w:color="000000"/>
            </w:tcBorders>
          </w:tcPr>
          <w:p>
            <w:pPr>
              <w:pStyle w:val="21"/>
              <w:spacing w:lineRule="auto" w:line="240"/>
              <w:jc w:val="both"/>
              <w:rPr>
                <w:sz w:val="20"/>
                <w:szCs w:val="20"/>
                <w:lang w:val="uk-UA"/>
              </w:rPr>
            </w:pPr>
            <w:r>
              <w:rPr>
                <w:sz w:val="20"/>
                <w:szCs w:val="20"/>
                <w:lang w:val="uk-UA"/>
              </w:rPr>
              <w:t>Наявність житлової забудови в межах санітарно-захисної зони є порушення вимог Державних санітарних правил планування та забудови населених пунктів, затверджених наказом Міністерства охорони здоров'я України № 173 від 19.06.1996р.</w:t>
            </w:r>
          </w:p>
          <w:p>
            <w:pPr>
              <w:pStyle w:val="Normal"/>
              <w:jc w:val="both"/>
              <w:rPr>
                <w:sz w:val="20"/>
                <w:szCs w:val="20"/>
              </w:rPr>
            </w:pPr>
            <w:r>
              <w:rPr>
                <w:sz w:val="20"/>
                <w:szCs w:val="20"/>
              </w:rPr>
              <w:t>Слід зазначити, що зміна розміру санітарно-захисної зони (зменшення або збільшення) затверджується Головою Державної служби з питань безпечності харчових продуктів та захисту споживачів на підставі результатів проведення державної санітарно-епідеміологічної експертизи відповідних матеріалів.</w:t>
            </w:r>
          </w:p>
        </w:tc>
        <w:tc>
          <w:tcPr>
            <w:tcW w:w="1559" w:type="dxa"/>
            <w:tcBorders>
              <w:top w:val="single" w:sz="4" w:space="0" w:color="000000"/>
              <w:left w:val="single" w:sz="4" w:space="0" w:color="000000"/>
              <w:bottom w:val="single" w:sz="4" w:space="0" w:color="000000"/>
            </w:tcBorders>
          </w:tcPr>
          <w:p>
            <w:pPr>
              <w:pStyle w:val="Normal"/>
              <w:jc w:val="center"/>
              <w:rPr>
                <w:color w:val="000000"/>
                <w:sz w:val="20"/>
                <w:szCs w:val="20"/>
              </w:rPr>
            </w:pPr>
            <w:r>
              <w:rPr>
                <w:color w:val="000000"/>
                <w:sz w:val="20"/>
                <w:szCs w:val="20"/>
              </w:rPr>
              <w:t>Не враховано</w:t>
            </w:r>
          </w:p>
        </w:tc>
        <w:tc>
          <w:tcPr>
            <w:tcW w:w="4140"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szCs w:val="20"/>
              </w:rPr>
              <w:t>Проектні рішення щодо розміщення нових ділянок виробничо-комунальних зон на території міста здійснювались з урахуванням дотримання санітарно-захисних зон, відповідно їх класу шкідливості, до існуючих та проектних ділянок житлової та прирівняної до неї забудови. З метою організації СЗЗ перспективних підприємств в проекті виділені ділянки функціонального використання – для створення зелених насаджень спеціального призначення.</w:t>
            </w:r>
          </w:p>
          <w:p>
            <w:pPr>
              <w:pStyle w:val="Normal"/>
              <w:jc w:val="both"/>
              <w:rPr>
                <w:sz w:val="20"/>
                <w:szCs w:val="20"/>
              </w:rPr>
            </w:pPr>
            <w:r>
              <w:rPr>
                <w:sz w:val="20"/>
                <w:szCs w:val="20"/>
              </w:rPr>
              <w:t>З метою забезпечення вимог ДСП № 173 щодо дотримання СЗЗ до житлової забудови в проекті прийняті планувальні заходи – зміна видів виробничої діяльності окремих ділянок зі зниженням класу шкідливості. Наданий перелік підприємств, що потребують першочергово розроблення проектів скорочення їх СЗЗ; надані пропозиції по виконанню комплексу інженерних заходів для підприємств чиї СЗЗ не витримуються до меж житлової та прирівняної до неї забудови, про що зазначено у пояснювальній записці генерального плану, в розділі «Пропозиції щодо охорони навколишнього природного середовища».</w:t>
            </w:r>
          </w:p>
        </w:tc>
      </w:tr>
      <w:tr>
        <w:trPr>
          <w:trHeight w:val="463" w:hRule="atLeast"/>
        </w:trPr>
        <w:tc>
          <w:tcPr>
            <w:tcW w:w="425" w:type="dxa"/>
            <w:vMerge w:val="continue"/>
            <w:tcBorders>
              <w:top w:val="single" w:sz="4" w:space="0" w:color="000000"/>
              <w:left w:val="single" w:sz="4" w:space="0" w:color="000000"/>
              <w:bottom w:val="single" w:sz="4" w:space="0" w:color="000000"/>
            </w:tcBorders>
          </w:tcPr>
          <w:p>
            <w:pPr>
              <w:pStyle w:val="Normal"/>
              <w:snapToGrid w:val="false"/>
              <w:jc w:val="both"/>
              <w:rPr>
                <w:color w:val="000000"/>
                <w:sz w:val="20"/>
                <w:szCs w:val="20"/>
                <w:highlight w:val="lightGray"/>
              </w:rPr>
            </w:pPr>
            <w:r>
              <w:rPr>
                <w:color w:val="000000"/>
                <w:sz w:val="20"/>
                <w:szCs w:val="20"/>
                <w:highlight w:val="lightGray"/>
              </w:rPr>
            </w:r>
          </w:p>
        </w:tc>
        <w:tc>
          <w:tcPr>
            <w:tcW w:w="2127"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highlight w:val="lightGray"/>
              </w:rPr>
            </w:pPr>
            <w:r>
              <w:rPr>
                <w:color w:val="000000"/>
                <w:sz w:val="20"/>
                <w:szCs w:val="20"/>
                <w:highlight w:val="lightGray"/>
              </w:rPr>
            </w:r>
          </w:p>
        </w:tc>
        <w:tc>
          <w:tcPr>
            <w:tcW w:w="2552" w:type="dxa"/>
            <w:tcBorders>
              <w:top w:val="single" w:sz="4" w:space="0" w:color="000000"/>
              <w:left w:val="single" w:sz="4" w:space="0" w:color="000000"/>
              <w:bottom w:val="single" w:sz="4" w:space="0" w:color="000000"/>
            </w:tcBorders>
          </w:tcPr>
          <w:p>
            <w:pPr>
              <w:pStyle w:val="Default"/>
              <w:bidi w:val="0"/>
              <w:snapToGrid w:val="false"/>
              <w:ind w:left="0" w:right="0" w:firstLine="176"/>
              <w:jc w:val="both"/>
              <w:rPr>
                <w:color w:val="000000"/>
                <w:sz w:val="20"/>
                <w:szCs w:val="20"/>
                <w:highlight w:val="lightGray"/>
              </w:rPr>
            </w:pPr>
            <w:r>
              <w:rPr>
                <w:color w:val="000000"/>
                <w:sz w:val="20"/>
                <w:szCs w:val="20"/>
                <w:highlight w:val="lightGray"/>
              </w:rPr>
            </w:r>
          </w:p>
        </w:tc>
        <w:tc>
          <w:tcPr>
            <w:tcW w:w="4252" w:type="dxa"/>
            <w:tcBorders>
              <w:top w:val="single" w:sz="4" w:space="0" w:color="000000"/>
              <w:left w:val="single" w:sz="4" w:space="0" w:color="000000"/>
              <w:bottom w:val="single" w:sz="4" w:space="0" w:color="000000"/>
            </w:tcBorders>
          </w:tcPr>
          <w:p>
            <w:pPr>
              <w:pStyle w:val="21"/>
              <w:spacing w:lineRule="auto" w:line="240"/>
              <w:jc w:val="both"/>
              <w:rPr>
                <w:sz w:val="20"/>
                <w:szCs w:val="20"/>
                <w:lang w:val="uk-UA"/>
              </w:rPr>
            </w:pPr>
            <w:r>
              <w:rPr>
                <w:sz w:val="20"/>
                <w:szCs w:val="20"/>
                <w:lang w:val="uk-UA"/>
              </w:rPr>
              <w:t>На графічних матеріалах генерального плану не позначено масштаб, в якому вони виконані, відповідно вимог п.5, ДБН Б.1.1-15:2012 «Склад та зміст генерального плану населеного пункту» (далі - ДБН Б.1.1-15:2012).</w:t>
            </w:r>
          </w:p>
        </w:tc>
        <w:tc>
          <w:tcPr>
            <w:tcW w:w="1559" w:type="dxa"/>
            <w:tcBorders>
              <w:top w:val="single" w:sz="4" w:space="0" w:color="000000"/>
              <w:left w:val="single" w:sz="4" w:space="0" w:color="000000"/>
              <w:bottom w:val="single" w:sz="4" w:space="0" w:color="000000"/>
            </w:tcBorders>
          </w:tcPr>
          <w:p>
            <w:pPr>
              <w:pStyle w:val="Normal"/>
              <w:jc w:val="center"/>
              <w:rPr>
                <w:color w:val="000000"/>
                <w:sz w:val="20"/>
                <w:szCs w:val="20"/>
              </w:rPr>
            </w:pPr>
            <w:r>
              <w:rPr>
                <w:color w:val="000000"/>
                <w:sz w:val="20"/>
                <w:szCs w:val="20"/>
              </w:rPr>
              <w:t>Не враховано</w:t>
            </w:r>
          </w:p>
        </w:tc>
        <w:tc>
          <w:tcPr>
            <w:tcW w:w="4140"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szCs w:val="20"/>
              </w:rPr>
              <w:t xml:space="preserve">Графічна частина проекту виконана в масштабі відповідно вимог п.5,                         ДБН Б.1.1-15:2012 «Склад та зміст генерального плану населеного пункту», з позначення його на схемах. </w:t>
            </w:r>
          </w:p>
          <w:p>
            <w:pPr>
              <w:pStyle w:val="Normal"/>
              <w:jc w:val="both"/>
              <w:rPr>
                <w:sz w:val="20"/>
                <w:szCs w:val="20"/>
              </w:rPr>
            </w:pPr>
            <w:r>
              <w:rPr>
                <w:sz w:val="20"/>
                <w:szCs w:val="20"/>
              </w:rPr>
              <w:t xml:space="preserve">Для надання проекту документу державного планування для розгляду органами виконавчої влади на паперових носіях були виготовлені додаткові екземпляри в зменшеному розмірі з метою заощадження природних ресурсів, що використовуються для виготовлення паперових носіїв. </w:t>
            </w:r>
          </w:p>
          <w:p>
            <w:pPr>
              <w:pStyle w:val="Normal"/>
              <w:jc w:val="both"/>
              <w:rPr>
                <w:sz w:val="20"/>
                <w:szCs w:val="20"/>
              </w:rPr>
            </w:pPr>
            <w:r>
              <w:rPr>
                <w:sz w:val="20"/>
                <w:szCs w:val="20"/>
              </w:rPr>
              <w:t>Графічні матеріали, відповідно вимог ДБН Б.1.1-15:2012 надаються органам виконавчої влади для розгляду проекту на електронних носіях, в яких позначено масштаб.</w:t>
            </w:r>
          </w:p>
        </w:tc>
      </w:tr>
      <w:tr>
        <w:trPr>
          <w:trHeight w:val="463" w:hRule="atLeast"/>
        </w:trPr>
        <w:tc>
          <w:tcPr>
            <w:tcW w:w="425" w:type="dxa"/>
            <w:vMerge w:val="continue"/>
            <w:tcBorders>
              <w:top w:val="single" w:sz="4" w:space="0" w:color="000000"/>
              <w:left w:val="single" w:sz="4" w:space="0" w:color="000000"/>
              <w:bottom w:val="single" w:sz="4" w:space="0" w:color="000000"/>
            </w:tcBorders>
          </w:tcPr>
          <w:p>
            <w:pPr>
              <w:pStyle w:val="Normal"/>
              <w:snapToGrid w:val="false"/>
              <w:jc w:val="both"/>
              <w:rPr>
                <w:color w:val="000000"/>
                <w:sz w:val="20"/>
                <w:szCs w:val="20"/>
                <w:highlight w:val="lightGray"/>
              </w:rPr>
            </w:pPr>
            <w:r>
              <w:rPr>
                <w:color w:val="000000"/>
                <w:sz w:val="20"/>
                <w:szCs w:val="20"/>
                <w:highlight w:val="lightGray"/>
              </w:rPr>
            </w:r>
          </w:p>
        </w:tc>
        <w:tc>
          <w:tcPr>
            <w:tcW w:w="2127"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highlight w:val="lightGray"/>
              </w:rPr>
            </w:pPr>
            <w:r>
              <w:rPr>
                <w:color w:val="000000"/>
                <w:sz w:val="20"/>
                <w:szCs w:val="20"/>
                <w:highlight w:val="lightGray"/>
              </w:rPr>
            </w:r>
          </w:p>
        </w:tc>
        <w:tc>
          <w:tcPr>
            <w:tcW w:w="2552" w:type="dxa"/>
            <w:tcBorders>
              <w:top w:val="single" w:sz="4" w:space="0" w:color="000000"/>
              <w:left w:val="single" w:sz="4" w:space="0" w:color="000000"/>
              <w:bottom w:val="single" w:sz="4" w:space="0" w:color="000000"/>
            </w:tcBorders>
          </w:tcPr>
          <w:p>
            <w:pPr>
              <w:pStyle w:val="Default"/>
              <w:bidi w:val="0"/>
              <w:snapToGrid w:val="false"/>
              <w:ind w:left="0" w:right="0" w:firstLine="176"/>
              <w:jc w:val="both"/>
              <w:rPr>
                <w:color w:val="000000"/>
                <w:sz w:val="20"/>
                <w:szCs w:val="20"/>
                <w:highlight w:val="lightGray"/>
              </w:rPr>
            </w:pPr>
            <w:r>
              <w:rPr>
                <w:color w:val="000000"/>
                <w:sz w:val="20"/>
                <w:szCs w:val="20"/>
                <w:highlight w:val="lightGray"/>
              </w:rPr>
            </w:r>
          </w:p>
        </w:tc>
        <w:tc>
          <w:tcPr>
            <w:tcW w:w="4252" w:type="dxa"/>
            <w:tcBorders>
              <w:top w:val="single" w:sz="4" w:space="0" w:color="000000"/>
              <w:left w:val="single" w:sz="4" w:space="0" w:color="000000"/>
              <w:bottom w:val="single" w:sz="4" w:space="0" w:color="000000"/>
            </w:tcBorders>
          </w:tcPr>
          <w:p>
            <w:pPr>
              <w:pStyle w:val="21"/>
              <w:spacing w:lineRule="auto" w:line="240"/>
              <w:jc w:val="both"/>
              <w:rPr>
                <w:sz w:val="20"/>
                <w:szCs w:val="20"/>
                <w:lang w:val="uk-UA"/>
              </w:rPr>
            </w:pPr>
            <w:r>
              <w:rPr>
                <w:sz w:val="20"/>
                <w:szCs w:val="20"/>
                <w:lang w:val="uk-UA"/>
              </w:rPr>
              <w:t>На графічних матеріалах неможливо оцінити розміри СЗЗ підприємств.</w:t>
            </w:r>
          </w:p>
        </w:tc>
        <w:tc>
          <w:tcPr>
            <w:tcW w:w="1559" w:type="dxa"/>
            <w:tcBorders>
              <w:top w:val="single" w:sz="4" w:space="0" w:color="000000"/>
              <w:left w:val="single" w:sz="4" w:space="0" w:color="000000"/>
              <w:bottom w:val="single" w:sz="4" w:space="0" w:color="000000"/>
            </w:tcBorders>
          </w:tcPr>
          <w:p>
            <w:pPr>
              <w:pStyle w:val="Normal"/>
              <w:jc w:val="center"/>
              <w:rPr>
                <w:color w:val="000000"/>
                <w:sz w:val="20"/>
                <w:szCs w:val="20"/>
              </w:rPr>
            </w:pPr>
            <w:r>
              <w:rPr>
                <w:color w:val="000000"/>
                <w:sz w:val="20"/>
                <w:szCs w:val="20"/>
              </w:rPr>
              <w:t>Не враховано</w:t>
            </w:r>
          </w:p>
        </w:tc>
        <w:tc>
          <w:tcPr>
            <w:tcW w:w="4140"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szCs w:val="20"/>
              </w:rPr>
              <w:t>Графічні матеріали із зазначенням масштабу, відповідно вимог ДБН Б.1.1-15:2012 надаються органам виконавчої влади для розгляду проекту на електронних носіях, а також розміщуються на офіційному веб-ресурсі замовника, які дозволяють оцінити розміри СЗЗ підприємств.</w:t>
            </w:r>
          </w:p>
        </w:tc>
      </w:tr>
      <w:tr>
        <w:trPr>
          <w:trHeight w:val="463" w:hRule="atLeast"/>
        </w:trPr>
        <w:tc>
          <w:tcPr>
            <w:tcW w:w="425" w:type="dxa"/>
            <w:vMerge w:val="continue"/>
            <w:tcBorders>
              <w:top w:val="single" w:sz="4" w:space="0" w:color="000000"/>
              <w:left w:val="single" w:sz="4" w:space="0" w:color="000000"/>
              <w:bottom w:val="single" w:sz="4" w:space="0" w:color="000000"/>
            </w:tcBorders>
          </w:tcPr>
          <w:p>
            <w:pPr>
              <w:pStyle w:val="Normal"/>
              <w:snapToGrid w:val="false"/>
              <w:jc w:val="both"/>
              <w:rPr>
                <w:color w:val="000000"/>
                <w:sz w:val="20"/>
                <w:szCs w:val="20"/>
                <w:highlight w:val="lightGray"/>
              </w:rPr>
            </w:pPr>
            <w:r>
              <w:rPr>
                <w:color w:val="000000"/>
                <w:sz w:val="20"/>
                <w:szCs w:val="20"/>
                <w:highlight w:val="lightGray"/>
              </w:rPr>
            </w:r>
          </w:p>
        </w:tc>
        <w:tc>
          <w:tcPr>
            <w:tcW w:w="2127"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highlight w:val="lightGray"/>
              </w:rPr>
            </w:pPr>
            <w:r>
              <w:rPr>
                <w:color w:val="000000"/>
                <w:sz w:val="20"/>
                <w:szCs w:val="20"/>
                <w:highlight w:val="lightGray"/>
              </w:rPr>
            </w:r>
          </w:p>
        </w:tc>
        <w:tc>
          <w:tcPr>
            <w:tcW w:w="2552" w:type="dxa"/>
            <w:tcBorders>
              <w:top w:val="single" w:sz="4" w:space="0" w:color="000000"/>
              <w:left w:val="single" w:sz="4" w:space="0" w:color="000000"/>
              <w:bottom w:val="single" w:sz="4" w:space="0" w:color="000000"/>
            </w:tcBorders>
          </w:tcPr>
          <w:p>
            <w:pPr>
              <w:pStyle w:val="Default"/>
              <w:bidi w:val="0"/>
              <w:snapToGrid w:val="false"/>
              <w:ind w:left="0" w:right="0" w:firstLine="176"/>
              <w:jc w:val="both"/>
              <w:rPr>
                <w:color w:val="000000"/>
                <w:sz w:val="20"/>
                <w:szCs w:val="20"/>
                <w:highlight w:val="lightGray"/>
              </w:rPr>
            </w:pPr>
            <w:r>
              <w:rPr>
                <w:color w:val="000000"/>
                <w:sz w:val="20"/>
                <w:szCs w:val="20"/>
                <w:highlight w:val="lightGray"/>
              </w:rPr>
            </w:r>
          </w:p>
        </w:tc>
        <w:tc>
          <w:tcPr>
            <w:tcW w:w="4252" w:type="dxa"/>
            <w:tcBorders>
              <w:top w:val="single" w:sz="4" w:space="0" w:color="000000"/>
              <w:left w:val="single" w:sz="4" w:space="0" w:color="000000"/>
              <w:bottom w:val="single" w:sz="4" w:space="0" w:color="000000"/>
            </w:tcBorders>
          </w:tcPr>
          <w:p>
            <w:pPr>
              <w:pStyle w:val="21"/>
              <w:spacing w:lineRule="auto" w:line="240"/>
              <w:jc w:val="both"/>
              <w:rPr>
                <w:sz w:val="20"/>
                <w:szCs w:val="20"/>
                <w:lang w:val="uk-UA"/>
              </w:rPr>
            </w:pPr>
            <w:r>
              <w:rPr>
                <w:sz w:val="20"/>
                <w:szCs w:val="20"/>
                <w:lang w:val="uk-UA"/>
              </w:rPr>
              <w:t>На Генеральному плані (основне креслення) не відображені санітарно-захисні зони підприємств відповідно вимог п. 5, ДБН Б.1.1-15:2012.</w:t>
            </w:r>
          </w:p>
        </w:tc>
        <w:tc>
          <w:tcPr>
            <w:tcW w:w="1559" w:type="dxa"/>
            <w:tcBorders>
              <w:top w:val="single" w:sz="4" w:space="0" w:color="000000"/>
              <w:left w:val="single" w:sz="4" w:space="0" w:color="000000"/>
              <w:bottom w:val="single" w:sz="4" w:space="0" w:color="000000"/>
            </w:tcBorders>
          </w:tcPr>
          <w:p>
            <w:pPr>
              <w:pStyle w:val="Normal"/>
              <w:jc w:val="center"/>
              <w:rPr>
                <w:color w:val="000000"/>
                <w:sz w:val="20"/>
                <w:szCs w:val="20"/>
              </w:rPr>
            </w:pPr>
            <w:r>
              <w:rPr>
                <w:color w:val="000000"/>
                <w:sz w:val="20"/>
                <w:szCs w:val="20"/>
              </w:rPr>
              <w:t>Не враховано</w:t>
            </w:r>
          </w:p>
        </w:tc>
        <w:tc>
          <w:tcPr>
            <w:tcW w:w="4140"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szCs w:val="20"/>
              </w:rPr>
              <w:t>Генеральний план (основне креслення) виконаний відповідно до п. 5 (пп. 5.5.5)           ДБН Б.1.1-15:2012 «Склад та зміст генерального плану населеного пункту».</w:t>
            </w:r>
          </w:p>
          <w:p>
            <w:pPr>
              <w:pStyle w:val="Normal"/>
              <w:jc w:val="both"/>
              <w:rPr>
                <w:sz w:val="20"/>
                <w:szCs w:val="20"/>
              </w:rPr>
            </w:pPr>
            <w:r>
              <w:rPr>
                <w:sz w:val="20"/>
                <w:szCs w:val="20"/>
              </w:rPr>
              <w:t>Відповідно  вимог п. 5 ДБН Б.1.1-15:2012 «Склад та зміст генерального плану населеного пункту» відображення санітарно-захисних зон передбачено на «Схемі існуючих планувальних обмежень» та «Схемі проектних планувальних обмежень»</w:t>
            </w:r>
          </w:p>
        </w:tc>
      </w:tr>
      <w:tr>
        <w:trPr>
          <w:trHeight w:val="463" w:hRule="atLeast"/>
        </w:trPr>
        <w:tc>
          <w:tcPr>
            <w:tcW w:w="425" w:type="dxa"/>
            <w:vMerge w:val="continue"/>
            <w:tcBorders>
              <w:top w:val="single" w:sz="4" w:space="0" w:color="000000"/>
              <w:left w:val="single" w:sz="4" w:space="0" w:color="000000"/>
              <w:bottom w:val="single" w:sz="4" w:space="0" w:color="000000"/>
            </w:tcBorders>
          </w:tcPr>
          <w:p>
            <w:pPr>
              <w:pStyle w:val="Normal"/>
              <w:snapToGrid w:val="false"/>
              <w:jc w:val="both"/>
              <w:rPr>
                <w:color w:val="000000"/>
                <w:sz w:val="20"/>
                <w:szCs w:val="20"/>
                <w:highlight w:val="lightGray"/>
              </w:rPr>
            </w:pPr>
            <w:r>
              <w:rPr>
                <w:color w:val="000000"/>
                <w:sz w:val="20"/>
                <w:szCs w:val="20"/>
                <w:highlight w:val="lightGray"/>
              </w:rPr>
            </w:r>
          </w:p>
        </w:tc>
        <w:tc>
          <w:tcPr>
            <w:tcW w:w="2127"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highlight w:val="lightGray"/>
              </w:rPr>
            </w:pPr>
            <w:r>
              <w:rPr>
                <w:color w:val="000000"/>
                <w:sz w:val="20"/>
                <w:szCs w:val="20"/>
                <w:highlight w:val="lightGray"/>
              </w:rPr>
            </w:r>
          </w:p>
        </w:tc>
        <w:tc>
          <w:tcPr>
            <w:tcW w:w="2552" w:type="dxa"/>
            <w:tcBorders>
              <w:top w:val="single" w:sz="4" w:space="0" w:color="000000"/>
              <w:left w:val="single" w:sz="4" w:space="0" w:color="000000"/>
              <w:bottom w:val="single" w:sz="4" w:space="0" w:color="000000"/>
            </w:tcBorders>
          </w:tcPr>
          <w:p>
            <w:pPr>
              <w:pStyle w:val="Default"/>
              <w:bidi w:val="0"/>
              <w:snapToGrid w:val="false"/>
              <w:ind w:left="0" w:right="0" w:firstLine="176"/>
              <w:jc w:val="both"/>
              <w:rPr>
                <w:color w:val="000000"/>
                <w:sz w:val="20"/>
                <w:szCs w:val="20"/>
                <w:highlight w:val="lightGray"/>
              </w:rPr>
            </w:pPr>
            <w:r>
              <w:rPr>
                <w:color w:val="000000"/>
                <w:sz w:val="20"/>
                <w:szCs w:val="20"/>
                <w:highlight w:val="lightGray"/>
              </w:rPr>
            </w:r>
          </w:p>
        </w:tc>
        <w:tc>
          <w:tcPr>
            <w:tcW w:w="4252" w:type="dxa"/>
            <w:tcBorders>
              <w:top w:val="single" w:sz="4" w:space="0" w:color="000000"/>
              <w:left w:val="single" w:sz="4" w:space="0" w:color="000000"/>
              <w:bottom w:val="single" w:sz="4" w:space="0" w:color="000000"/>
            </w:tcBorders>
          </w:tcPr>
          <w:p>
            <w:pPr>
              <w:pStyle w:val="21"/>
              <w:spacing w:lineRule="auto" w:line="240"/>
              <w:jc w:val="both"/>
              <w:rPr>
                <w:sz w:val="20"/>
                <w:szCs w:val="20"/>
                <w:lang w:val="uk-UA"/>
              </w:rPr>
            </w:pPr>
            <w:r>
              <w:rPr>
                <w:sz w:val="20"/>
                <w:szCs w:val="20"/>
                <w:lang w:val="uk-UA"/>
              </w:rPr>
              <w:t>При розробці генерального плану необхідно врахувати наявні об’єкти з охоронними зонами та зонами особливого режиму та діючі обмеження щодо розташування нових об’єктів в цих зонах.</w:t>
            </w:r>
          </w:p>
        </w:tc>
        <w:tc>
          <w:tcPr>
            <w:tcW w:w="1559" w:type="dxa"/>
            <w:tcBorders>
              <w:top w:val="single" w:sz="4" w:space="0" w:color="000000"/>
              <w:left w:val="single" w:sz="4" w:space="0" w:color="000000"/>
              <w:bottom w:val="single" w:sz="4" w:space="0" w:color="000000"/>
            </w:tcBorders>
          </w:tcPr>
          <w:p>
            <w:pPr>
              <w:pStyle w:val="Normal"/>
              <w:jc w:val="center"/>
              <w:rPr>
                <w:color w:val="000000"/>
                <w:sz w:val="20"/>
                <w:szCs w:val="20"/>
              </w:rPr>
            </w:pPr>
            <w:r>
              <w:rPr>
                <w:color w:val="000000"/>
                <w:sz w:val="20"/>
                <w:szCs w:val="20"/>
              </w:rPr>
              <w:t>Не враховано</w:t>
            </w:r>
          </w:p>
        </w:tc>
        <w:tc>
          <w:tcPr>
            <w:tcW w:w="4140"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szCs w:val="20"/>
              </w:rPr>
              <w:t>При розробці генерального плану враховувались охоронні зони від наявних об’єктів і мереж інженерної інфраструктури, що мають суттєві параметри (понад 15 метрів) при прийнятті рішень територіального розвиту населеного пункту на стадії генеральний план, зокрема: охоронні зони повітряних ліній електропередач, охоронні зони магістрального газопроводу та газорозподільчої станції, про що зазначено в пояснювальній записці генерального плану, в підрозділі «Планувальні обмеження». В графічній частині проекту зазначені зони відображені на схемах існуючих та проектних планувальних обмежень.</w:t>
            </w:r>
          </w:p>
          <w:p>
            <w:pPr>
              <w:pStyle w:val="Normal"/>
              <w:jc w:val="both"/>
              <w:rPr>
                <w:sz w:val="20"/>
                <w:szCs w:val="20"/>
              </w:rPr>
            </w:pPr>
            <w:r>
              <w:rPr>
                <w:sz w:val="20"/>
                <w:szCs w:val="20"/>
              </w:rPr>
              <w:t>Містобудівні регламенти та режими обмеження використання об’єктів в санітарно-захисних, охоронних, природо-охоронних зонах тощо зазначені в розділі 3 пояснювальної записки Плану зонування території (зонінгу).</w:t>
            </w:r>
          </w:p>
        </w:tc>
      </w:tr>
      <w:tr>
        <w:trPr>
          <w:trHeight w:val="463" w:hRule="atLeast"/>
        </w:trPr>
        <w:tc>
          <w:tcPr>
            <w:tcW w:w="425" w:type="dxa"/>
            <w:vMerge w:val="continue"/>
            <w:tcBorders>
              <w:top w:val="single" w:sz="4" w:space="0" w:color="000000"/>
              <w:left w:val="single" w:sz="4" w:space="0" w:color="000000"/>
              <w:bottom w:val="single" w:sz="4" w:space="0" w:color="000000"/>
            </w:tcBorders>
          </w:tcPr>
          <w:p>
            <w:pPr>
              <w:pStyle w:val="Normal"/>
              <w:snapToGrid w:val="false"/>
              <w:jc w:val="both"/>
              <w:rPr>
                <w:color w:val="000000"/>
                <w:sz w:val="20"/>
                <w:szCs w:val="20"/>
                <w:highlight w:val="lightGray"/>
              </w:rPr>
            </w:pPr>
            <w:r>
              <w:rPr>
                <w:color w:val="000000"/>
                <w:sz w:val="20"/>
                <w:szCs w:val="20"/>
                <w:highlight w:val="lightGray"/>
              </w:rPr>
            </w:r>
          </w:p>
        </w:tc>
        <w:tc>
          <w:tcPr>
            <w:tcW w:w="2127"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highlight w:val="lightGray"/>
              </w:rPr>
            </w:pPr>
            <w:r>
              <w:rPr>
                <w:color w:val="000000"/>
                <w:sz w:val="20"/>
                <w:szCs w:val="20"/>
                <w:highlight w:val="lightGray"/>
              </w:rPr>
            </w:r>
          </w:p>
        </w:tc>
        <w:tc>
          <w:tcPr>
            <w:tcW w:w="2552" w:type="dxa"/>
            <w:tcBorders>
              <w:top w:val="single" w:sz="4" w:space="0" w:color="000000"/>
              <w:left w:val="single" w:sz="4" w:space="0" w:color="000000"/>
              <w:bottom w:val="single" w:sz="4" w:space="0" w:color="000000"/>
            </w:tcBorders>
          </w:tcPr>
          <w:p>
            <w:pPr>
              <w:pStyle w:val="Default"/>
              <w:bidi w:val="0"/>
              <w:snapToGrid w:val="false"/>
              <w:ind w:left="0" w:right="0" w:firstLine="176"/>
              <w:jc w:val="both"/>
              <w:rPr>
                <w:color w:val="000000"/>
                <w:sz w:val="20"/>
                <w:szCs w:val="20"/>
                <w:highlight w:val="lightGray"/>
              </w:rPr>
            </w:pPr>
            <w:r>
              <w:rPr>
                <w:color w:val="000000"/>
                <w:sz w:val="20"/>
                <w:szCs w:val="20"/>
                <w:highlight w:val="lightGray"/>
              </w:rPr>
            </w:r>
          </w:p>
        </w:tc>
        <w:tc>
          <w:tcPr>
            <w:tcW w:w="4252" w:type="dxa"/>
            <w:tcBorders>
              <w:top w:val="single" w:sz="4" w:space="0" w:color="000000"/>
              <w:left w:val="single" w:sz="4" w:space="0" w:color="000000"/>
              <w:bottom w:val="single" w:sz="4" w:space="0" w:color="000000"/>
            </w:tcBorders>
          </w:tcPr>
          <w:p>
            <w:pPr>
              <w:pStyle w:val="21"/>
              <w:spacing w:lineRule="auto" w:line="240"/>
              <w:jc w:val="both"/>
              <w:rPr>
                <w:sz w:val="20"/>
                <w:szCs w:val="20"/>
                <w:lang w:val="uk-UA"/>
              </w:rPr>
            </w:pPr>
            <w:r>
              <w:rPr>
                <w:sz w:val="20"/>
                <w:szCs w:val="20"/>
                <w:lang w:val="uk-UA"/>
              </w:rPr>
              <w:t>При розробці генерального плану необхідно передбачити санітарно-захисні зони інженерних мереж водопостачання та мереж водовідведення з урахуванням вимог                 ДБН В.2.5-75:2013 «Каналізація. Зовнішні мережі та споруди. Основні положення проектування» та ДБН В.2.5-74:2013 «Водопостачання. Зовнішні мережі та споруди. Основні положення проектування»</w:t>
            </w:r>
          </w:p>
        </w:tc>
        <w:tc>
          <w:tcPr>
            <w:tcW w:w="1559" w:type="dxa"/>
            <w:tcBorders>
              <w:top w:val="single" w:sz="4" w:space="0" w:color="000000"/>
              <w:left w:val="single" w:sz="4" w:space="0" w:color="000000"/>
              <w:bottom w:val="single" w:sz="4" w:space="0" w:color="000000"/>
            </w:tcBorders>
          </w:tcPr>
          <w:p>
            <w:pPr>
              <w:pStyle w:val="Normal"/>
              <w:jc w:val="center"/>
              <w:rPr>
                <w:color w:val="000000"/>
                <w:sz w:val="20"/>
                <w:szCs w:val="20"/>
              </w:rPr>
            </w:pPr>
            <w:r>
              <w:rPr>
                <w:color w:val="000000"/>
                <w:sz w:val="20"/>
                <w:szCs w:val="20"/>
              </w:rPr>
              <w:t>Не враховано</w:t>
            </w:r>
          </w:p>
        </w:tc>
        <w:tc>
          <w:tcPr>
            <w:tcW w:w="4140"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szCs w:val="20"/>
              </w:rPr>
              <w:t xml:space="preserve">При розробці генерального плану, відповідно вимог ДБН В.2.5-74:2013 «Водопостачання. Зовнішні мережі та споруди. Основні положення проектування» передбачались зони санітарної охорони споруд водопостачання, про що зазначено у пояснювальній записці генплану, підрозділ «Природоохоронні території», та на схемах планувальних обмежень, та санітарно-захисні смуги водоводів, про що зазначено у пояснювальній записці генплану, в підрозділі Планувальні обмеження». </w:t>
            </w:r>
          </w:p>
          <w:p>
            <w:pPr>
              <w:pStyle w:val="Normal"/>
              <w:jc w:val="both"/>
              <w:rPr>
                <w:sz w:val="20"/>
                <w:szCs w:val="20"/>
              </w:rPr>
            </w:pPr>
            <w:r>
              <w:rPr>
                <w:sz w:val="20"/>
                <w:szCs w:val="20"/>
              </w:rPr>
              <w:t>Відповідно вимог ДБН В.2.5-74:2013 «Каналізація. Зовнішні мережі та споруди. Основні положення проектування» передбачались санітарно-захисні зони інженерних споруд водовідведення, зокрема: санітарно-захисні зони КОС та КНС, про що зазначено у пояснювальній записці генплану, в підрозділі Планувальні обмеження», стор. 29, і які відображені на схемах існуючих та проектних планувальних обмежень.</w:t>
            </w:r>
          </w:p>
          <w:p>
            <w:pPr>
              <w:pStyle w:val="Normal"/>
              <w:jc w:val="both"/>
              <w:rPr>
                <w:sz w:val="20"/>
                <w:szCs w:val="20"/>
              </w:rPr>
            </w:pPr>
            <w:r>
              <w:rPr>
                <w:sz w:val="20"/>
                <w:szCs w:val="20"/>
              </w:rPr>
              <w:t xml:space="preserve">Щодо врахування та відображення в графічній частині охоронних зон мереж водопостачання та водовідведення, слід зазначити, що зображення мереж в графічній частині містобудівної документації на стадії генеральний план, відповідно вимог                 ДБН Б.1.1-15:2012, на Схемі інженерного обладнання території масштабу 1:10000 виконується орієнтовно і має певну похибку. Охоронні зони  мереж мають параметри до 10м, що не є суттєвим параметром при прийнятті рішень територіального розвиту населеного пункту на стадії генеральний план. Їх зображення на схемах також буде орієнтовним, матиме значну похибку і вбачається недоцільним.  </w:t>
            </w:r>
          </w:p>
        </w:tc>
      </w:tr>
      <w:tr>
        <w:trPr>
          <w:trHeight w:val="463" w:hRule="atLeast"/>
        </w:trPr>
        <w:tc>
          <w:tcPr>
            <w:tcW w:w="425" w:type="dxa"/>
            <w:vMerge w:val="continue"/>
            <w:tcBorders>
              <w:top w:val="single" w:sz="4" w:space="0" w:color="000000"/>
              <w:left w:val="single" w:sz="4" w:space="0" w:color="000000"/>
              <w:bottom w:val="single" w:sz="4" w:space="0" w:color="000000"/>
            </w:tcBorders>
          </w:tcPr>
          <w:p>
            <w:pPr>
              <w:pStyle w:val="Normal"/>
              <w:snapToGrid w:val="false"/>
              <w:jc w:val="both"/>
              <w:rPr>
                <w:color w:val="000000"/>
                <w:sz w:val="20"/>
                <w:szCs w:val="20"/>
                <w:highlight w:val="lightGray"/>
              </w:rPr>
            </w:pPr>
            <w:r>
              <w:rPr>
                <w:color w:val="000000"/>
                <w:sz w:val="20"/>
                <w:szCs w:val="20"/>
                <w:highlight w:val="lightGray"/>
              </w:rPr>
            </w:r>
          </w:p>
        </w:tc>
        <w:tc>
          <w:tcPr>
            <w:tcW w:w="2127"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highlight w:val="lightGray"/>
              </w:rPr>
            </w:pPr>
            <w:r>
              <w:rPr>
                <w:color w:val="000000"/>
                <w:sz w:val="20"/>
                <w:szCs w:val="20"/>
                <w:highlight w:val="lightGray"/>
              </w:rPr>
            </w:r>
          </w:p>
        </w:tc>
        <w:tc>
          <w:tcPr>
            <w:tcW w:w="2552" w:type="dxa"/>
            <w:tcBorders>
              <w:top w:val="single" w:sz="4" w:space="0" w:color="000000"/>
              <w:left w:val="single" w:sz="4" w:space="0" w:color="000000"/>
              <w:bottom w:val="single" w:sz="4" w:space="0" w:color="000000"/>
            </w:tcBorders>
          </w:tcPr>
          <w:p>
            <w:pPr>
              <w:pStyle w:val="Default"/>
              <w:bidi w:val="0"/>
              <w:snapToGrid w:val="false"/>
              <w:ind w:left="0" w:right="0" w:firstLine="176"/>
              <w:jc w:val="both"/>
              <w:rPr>
                <w:color w:val="000000"/>
                <w:sz w:val="20"/>
                <w:szCs w:val="20"/>
                <w:highlight w:val="lightGray"/>
              </w:rPr>
            </w:pPr>
            <w:r>
              <w:rPr>
                <w:color w:val="000000"/>
                <w:sz w:val="20"/>
                <w:szCs w:val="20"/>
                <w:highlight w:val="lightGray"/>
              </w:rPr>
            </w:r>
          </w:p>
        </w:tc>
        <w:tc>
          <w:tcPr>
            <w:tcW w:w="4252" w:type="dxa"/>
            <w:tcBorders>
              <w:top w:val="single" w:sz="4" w:space="0" w:color="000000"/>
              <w:left w:val="single" w:sz="4" w:space="0" w:color="000000"/>
              <w:bottom w:val="single" w:sz="4" w:space="0" w:color="000000"/>
            </w:tcBorders>
          </w:tcPr>
          <w:p>
            <w:pPr>
              <w:pStyle w:val="21"/>
              <w:spacing w:lineRule="auto" w:line="240"/>
              <w:jc w:val="both"/>
              <w:rPr>
                <w:sz w:val="20"/>
                <w:szCs w:val="20"/>
                <w:lang w:val="uk-UA"/>
              </w:rPr>
            </w:pPr>
            <w:r>
              <w:rPr>
                <w:sz w:val="20"/>
                <w:szCs w:val="20"/>
                <w:lang w:val="uk-UA"/>
              </w:rPr>
              <w:t>На виконання вимог ст. 60, 61 Земельного Кодексу України та ст.. 88, 89 Водного кодексу України, при розробці генерального плану має бути передбачено встановлення прибережних захисних смуг водних об’єктів.</w:t>
            </w:r>
          </w:p>
        </w:tc>
        <w:tc>
          <w:tcPr>
            <w:tcW w:w="1559" w:type="dxa"/>
            <w:tcBorders>
              <w:top w:val="single" w:sz="4" w:space="0" w:color="000000"/>
              <w:left w:val="single" w:sz="4" w:space="0" w:color="000000"/>
              <w:bottom w:val="single" w:sz="4" w:space="0" w:color="000000"/>
            </w:tcBorders>
          </w:tcPr>
          <w:p>
            <w:pPr>
              <w:pStyle w:val="Normal"/>
              <w:jc w:val="center"/>
              <w:rPr>
                <w:color w:val="000000"/>
                <w:sz w:val="20"/>
                <w:szCs w:val="20"/>
              </w:rPr>
            </w:pPr>
            <w:r>
              <w:rPr>
                <w:color w:val="000000"/>
                <w:sz w:val="20"/>
                <w:szCs w:val="20"/>
              </w:rPr>
              <w:t>Не враховано</w:t>
            </w:r>
          </w:p>
        </w:tc>
        <w:tc>
          <w:tcPr>
            <w:tcW w:w="4140" w:type="dxa"/>
            <w:tcBorders>
              <w:top w:val="single" w:sz="4" w:space="0" w:color="000000"/>
              <w:left w:val="single" w:sz="4" w:space="0" w:color="000000"/>
              <w:bottom w:val="single" w:sz="4" w:space="0" w:color="000000"/>
              <w:right w:val="single" w:sz="4" w:space="0" w:color="000000"/>
            </w:tcBorders>
          </w:tcPr>
          <w:p>
            <w:pPr>
              <w:pStyle w:val="Normal"/>
              <w:jc w:val="both"/>
              <w:rPr/>
            </w:pPr>
            <w:r>
              <w:rPr>
                <w:sz w:val="20"/>
                <w:szCs w:val="20"/>
              </w:rPr>
              <w:t>Відповідно ст. 88 Водного кодексу України:</w:t>
            </w:r>
            <w:r>
              <w:rPr>
                <w:color w:val="000000"/>
                <w:sz w:val="20"/>
                <w:szCs w:val="20"/>
                <w:shd w:fill="FFFFFF" w:val="clear"/>
              </w:rPr>
              <w:t xml:space="preserve"> «Прибережні захисні смуги встановлюються за окремими проектами землеустрою». Також згідно вимог </w:t>
            </w:r>
            <w:r>
              <w:rPr>
                <w:sz w:val="20"/>
                <w:szCs w:val="20"/>
              </w:rPr>
              <w:t xml:space="preserve">ст. 88 ВКУ </w:t>
            </w:r>
            <w:r>
              <w:rPr>
                <w:rFonts w:eastAsia="Times New Roman" w:cs="Times New Roman"/>
                <w:color w:val="000000"/>
                <w:sz w:val="20"/>
                <w:szCs w:val="20"/>
                <w:shd w:fill="FFFFFF" w:val="clear"/>
                <w:lang w:val="uk-UA" w:eastAsia="zh-CN" w:bidi="ar-SA"/>
              </w:rPr>
              <w:t>у</w:t>
            </w:r>
            <w:r>
              <w:rPr>
                <w:color w:val="000000"/>
                <w:sz w:val="20"/>
                <w:szCs w:val="20"/>
                <w:shd w:fill="FFFFFF" w:val="clear"/>
              </w:rPr>
              <w:t xml:space="preserve"> межах існуючих населених пунктів прибережна захисна смуга встановлюється з урахуванням містобудівної документації. Тому в проекті генерального плану лише надані пропозиції щодо визначення меж прибережних захисних смуг, які мають бути враховані під час розроблення окремого проекту із землеустрою, як того потребує вимога ст. 88 ВКУ. </w:t>
            </w:r>
          </w:p>
        </w:tc>
      </w:tr>
      <w:tr>
        <w:trPr>
          <w:trHeight w:val="463" w:hRule="atLeast"/>
        </w:trPr>
        <w:tc>
          <w:tcPr>
            <w:tcW w:w="425" w:type="dxa"/>
            <w:vMerge w:val="continue"/>
            <w:tcBorders>
              <w:top w:val="single" w:sz="4" w:space="0" w:color="000000"/>
              <w:left w:val="single" w:sz="4" w:space="0" w:color="000000"/>
              <w:bottom w:val="single" w:sz="4" w:space="0" w:color="000000"/>
            </w:tcBorders>
          </w:tcPr>
          <w:p>
            <w:pPr>
              <w:pStyle w:val="Normal"/>
              <w:snapToGrid w:val="false"/>
              <w:jc w:val="both"/>
              <w:rPr>
                <w:color w:val="000000"/>
                <w:sz w:val="20"/>
                <w:szCs w:val="20"/>
                <w:highlight w:val="lightGray"/>
              </w:rPr>
            </w:pPr>
            <w:r>
              <w:rPr>
                <w:color w:val="000000"/>
                <w:sz w:val="20"/>
                <w:szCs w:val="20"/>
                <w:highlight w:val="lightGray"/>
              </w:rPr>
            </w:r>
          </w:p>
        </w:tc>
        <w:tc>
          <w:tcPr>
            <w:tcW w:w="2127"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highlight w:val="lightGray"/>
              </w:rPr>
            </w:pPr>
            <w:r>
              <w:rPr>
                <w:color w:val="000000"/>
                <w:sz w:val="20"/>
                <w:szCs w:val="20"/>
                <w:highlight w:val="lightGray"/>
              </w:rPr>
            </w:r>
          </w:p>
        </w:tc>
        <w:tc>
          <w:tcPr>
            <w:tcW w:w="2552" w:type="dxa"/>
            <w:tcBorders>
              <w:top w:val="single" w:sz="4" w:space="0" w:color="000000"/>
              <w:left w:val="single" w:sz="4" w:space="0" w:color="000000"/>
              <w:bottom w:val="single" w:sz="4" w:space="0" w:color="000000"/>
            </w:tcBorders>
          </w:tcPr>
          <w:p>
            <w:pPr>
              <w:pStyle w:val="Default"/>
              <w:bidi w:val="0"/>
              <w:snapToGrid w:val="false"/>
              <w:ind w:left="0" w:right="0" w:firstLine="176"/>
              <w:jc w:val="both"/>
              <w:rPr>
                <w:color w:val="000000"/>
                <w:sz w:val="20"/>
                <w:szCs w:val="20"/>
                <w:highlight w:val="lightGray"/>
              </w:rPr>
            </w:pPr>
            <w:r>
              <w:rPr>
                <w:color w:val="000000"/>
                <w:sz w:val="20"/>
                <w:szCs w:val="20"/>
                <w:highlight w:val="lightGray"/>
              </w:rPr>
            </w:r>
          </w:p>
        </w:tc>
        <w:tc>
          <w:tcPr>
            <w:tcW w:w="4252" w:type="dxa"/>
            <w:tcBorders>
              <w:top w:val="single" w:sz="4" w:space="0" w:color="000000"/>
              <w:left w:val="single" w:sz="4" w:space="0" w:color="000000"/>
              <w:bottom w:val="single" w:sz="4" w:space="0" w:color="000000"/>
            </w:tcBorders>
          </w:tcPr>
          <w:p>
            <w:pPr>
              <w:pStyle w:val="21"/>
              <w:spacing w:lineRule="auto" w:line="240"/>
              <w:jc w:val="both"/>
              <w:rPr/>
            </w:pPr>
            <w:r>
              <w:rPr>
                <w:sz w:val="20"/>
                <w:szCs w:val="20"/>
                <w:lang w:val="uk-UA"/>
              </w:rPr>
              <w:t>При розробці генерального плану мають бути передбачені заходи щодо виключення можливого впливу та потрапляння забруднюючих речовин у підземні водоносні горизонти та ґрунти. Також необхідно перебачити реалізацію заходів з утримання споруд та мереж зливової каналізації (забезпечення збору поверхневих стоків, які утворюються на території міста).</w:t>
            </w:r>
          </w:p>
        </w:tc>
        <w:tc>
          <w:tcPr>
            <w:tcW w:w="1559" w:type="dxa"/>
            <w:tcBorders>
              <w:top w:val="single" w:sz="4" w:space="0" w:color="000000"/>
              <w:left w:val="single" w:sz="4" w:space="0" w:color="000000"/>
              <w:bottom w:val="single" w:sz="4" w:space="0" w:color="000000"/>
            </w:tcBorders>
          </w:tcPr>
          <w:p>
            <w:pPr>
              <w:pStyle w:val="Normal"/>
              <w:jc w:val="center"/>
              <w:rPr>
                <w:color w:val="000000"/>
                <w:sz w:val="20"/>
                <w:szCs w:val="20"/>
              </w:rPr>
            </w:pPr>
            <w:r>
              <w:rPr>
                <w:color w:val="000000"/>
                <w:sz w:val="20"/>
                <w:szCs w:val="20"/>
              </w:rPr>
              <w:t>Не враховано</w:t>
            </w:r>
          </w:p>
        </w:tc>
        <w:tc>
          <w:tcPr>
            <w:tcW w:w="4140"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szCs w:val="20"/>
              </w:rPr>
              <w:t xml:space="preserve">Заходи щодо виключення можливого впливу та потрапляння забруднюючих речовин у підземні водоносні горизонти та ґрунти приведені у пояснювальній записці генерального плану, в розділі «Пропозиції щодо охорони навколишнього природного середовища», на стор.  118, 119. </w:t>
            </w:r>
          </w:p>
          <w:p>
            <w:pPr>
              <w:pStyle w:val="Normal"/>
              <w:jc w:val="both"/>
              <w:rPr>
                <w:sz w:val="20"/>
                <w:szCs w:val="20"/>
              </w:rPr>
            </w:pPr>
            <w:r>
              <w:rPr>
                <w:sz w:val="20"/>
                <w:szCs w:val="20"/>
              </w:rPr>
              <w:t xml:space="preserve">Проектом визначені заходи з організації відведення дощових та талих вод на всій забудованій території міста. Реалізація цих заходів належить до сфери відповідальності органів місцевого самоврядування. Визначення заходів з утримання споруд та мереж зливової каналізації належить до компетенції комунального підприємства, на балансі якого знаходяться зазначена інженерна інфраструктура. </w:t>
            </w:r>
          </w:p>
        </w:tc>
      </w:tr>
      <w:tr>
        <w:trPr>
          <w:trHeight w:val="463" w:hRule="atLeast"/>
        </w:trPr>
        <w:tc>
          <w:tcPr>
            <w:tcW w:w="425" w:type="dxa"/>
            <w:vMerge w:val="continue"/>
            <w:tcBorders>
              <w:top w:val="single" w:sz="4" w:space="0" w:color="000000"/>
              <w:left w:val="single" w:sz="4" w:space="0" w:color="000000"/>
              <w:bottom w:val="single" w:sz="4" w:space="0" w:color="000000"/>
            </w:tcBorders>
          </w:tcPr>
          <w:p>
            <w:pPr>
              <w:pStyle w:val="Normal"/>
              <w:snapToGrid w:val="false"/>
              <w:jc w:val="both"/>
              <w:rPr>
                <w:color w:val="000000"/>
                <w:sz w:val="20"/>
                <w:szCs w:val="20"/>
                <w:highlight w:val="lightGray"/>
              </w:rPr>
            </w:pPr>
            <w:r>
              <w:rPr>
                <w:color w:val="000000"/>
                <w:sz w:val="20"/>
                <w:szCs w:val="20"/>
                <w:highlight w:val="lightGray"/>
              </w:rPr>
            </w:r>
          </w:p>
        </w:tc>
        <w:tc>
          <w:tcPr>
            <w:tcW w:w="2127"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highlight w:val="lightGray"/>
              </w:rPr>
            </w:pPr>
            <w:r>
              <w:rPr>
                <w:color w:val="000000"/>
                <w:sz w:val="20"/>
                <w:szCs w:val="20"/>
                <w:highlight w:val="lightGray"/>
              </w:rPr>
            </w:r>
          </w:p>
        </w:tc>
        <w:tc>
          <w:tcPr>
            <w:tcW w:w="2552" w:type="dxa"/>
            <w:tcBorders>
              <w:top w:val="single" w:sz="4" w:space="0" w:color="000000"/>
              <w:left w:val="single" w:sz="4" w:space="0" w:color="000000"/>
              <w:bottom w:val="single" w:sz="4" w:space="0" w:color="000000"/>
            </w:tcBorders>
          </w:tcPr>
          <w:p>
            <w:pPr>
              <w:pStyle w:val="Default"/>
              <w:bidi w:val="0"/>
              <w:snapToGrid w:val="false"/>
              <w:ind w:left="0" w:right="0" w:firstLine="176"/>
              <w:jc w:val="both"/>
              <w:rPr>
                <w:color w:val="000000"/>
                <w:sz w:val="20"/>
                <w:szCs w:val="20"/>
                <w:highlight w:val="lightGray"/>
              </w:rPr>
            </w:pPr>
            <w:r>
              <w:rPr>
                <w:color w:val="000000"/>
                <w:sz w:val="20"/>
                <w:szCs w:val="20"/>
                <w:highlight w:val="lightGray"/>
              </w:rPr>
            </w:r>
          </w:p>
        </w:tc>
        <w:tc>
          <w:tcPr>
            <w:tcW w:w="4252" w:type="dxa"/>
            <w:tcBorders>
              <w:top w:val="single" w:sz="4" w:space="0" w:color="000000"/>
              <w:left w:val="single" w:sz="4" w:space="0" w:color="000000"/>
              <w:bottom w:val="single" w:sz="4" w:space="0" w:color="000000"/>
            </w:tcBorders>
          </w:tcPr>
          <w:p>
            <w:pPr>
              <w:pStyle w:val="21"/>
              <w:spacing w:lineRule="auto" w:line="240"/>
              <w:jc w:val="both"/>
              <w:rPr>
                <w:sz w:val="20"/>
                <w:szCs w:val="20"/>
                <w:lang w:val="uk-UA"/>
              </w:rPr>
            </w:pPr>
            <w:r>
              <w:rPr>
                <w:sz w:val="20"/>
                <w:szCs w:val="20"/>
                <w:lang w:val="uk-UA"/>
              </w:rPr>
              <w:t xml:space="preserve">У пункті ІІ підпункту «Інженерна підготовка та захист території. Санітарне очищення» надано інформацію про проект схеми санітарного очищення міста Авдіївка. На сьогоднішній день схема санітарного очищення міста Авдіївка затверджена рішенням від 16.01.2020 №55. Наведену у зазначеному пункті інформацію необхідно привести у відповідність до затвердженої схеми санітарного очищення території. </w:t>
            </w:r>
          </w:p>
        </w:tc>
        <w:tc>
          <w:tcPr>
            <w:tcW w:w="1559" w:type="dxa"/>
            <w:tcBorders>
              <w:top w:val="single" w:sz="4" w:space="0" w:color="000000"/>
              <w:left w:val="single" w:sz="4" w:space="0" w:color="000000"/>
              <w:bottom w:val="single" w:sz="4" w:space="0" w:color="000000"/>
            </w:tcBorders>
          </w:tcPr>
          <w:p>
            <w:pPr>
              <w:pStyle w:val="Normal"/>
              <w:jc w:val="center"/>
              <w:rPr>
                <w:color w:val="000000"/>
                <w:sz w:val="20"/>
                <w:szCs w:val="20"/>
              </w:rPr>
            </w:pPr>
            <w:r>
              <w:rPr>
                <w:color w:val="000000"/>
                <w:sz w:val="20"/>
                <w:szCs w:val="20"/>
              </w:rPr>
              <w:t>Враховано</w:t>
            </w:r>
          </w:p>
        </w:tc>
        <w:tc>
          <w:tcPr>
            <w:tcW w:w="4140"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szCs w:val="20"/>
              </w:rPr>
              <w:t>В текстову частину містобудівної документації (пояснювальну записку генерального плану, Звіту про стратегічну екологічну оцінку, Додаток 1, Додаток 2) внесені відповідні корегування.</w:t>
            </w:r>
          </w:p>
        </w:tc>
      </w:tr>
      <w:tr>
        <w:trPr>
          <w:trHeight w:val="463" w:hRule="atLeast"/>
        </w:trPr>
        <w:tc>
          <w:tcPr>
            <w:tcW w:w="425" w:type="dxa"/>
            <w:vMerge w:val="continue"/>
            <w:tcBorders>
              <w:top w:val="single" w:sz="4" w:space="0" w:color="000000"/>
              <w:left w:val="single" w:sz="4" w:space="0" w:color="000000"/>
              <w:bottom w:val="single" w:sz="4" w:space="0" w:color="000000"/>
            </w:tcBorders>
          </w:tcPr>
          <w:p>
            <w:pPr>
              <w:pStyle w:val="Normal"/>
              <w:snapToGrid w:val="false"/>
              <w:jc w:val="both"/>
              <w:rPr>
                <w:color w:val="000000"/>
                <w:sz w:val="20"/>
                <w:szCs w:val="20"/>
                <w:highlight w:val="lightGray"/>
              </w:rPr>
            </w:pPr>
            <w:r>
              <w:rPr>
                <w:color w:val="000000"/>
                <w:sz w:val="20"/>
                <w:szCs w:val="20"/>
                <w:highlight w:val="lightGray"/>
              </w:rPr>
            </w:r>
          </w:p>
        </w:tc>
        <w:tc>
          <w:tcPr>
            <w:tcW w:w="2127"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highlight w:val="lightGray"/>
              </w:rPr>
            </w:pPr>
            <w:r>
              <w:rPr>
                <w:color w:val="000000"/>
                <w:sz w:val="20"/>
                <w:szCs w:val="20"/>
                <w:highlight w:val="lightGray"/>
              </w:rPr>
            </w:r>
          </w:p>
        </w:tc>
        <w:tc>
          <w:tcPr>
            <w:tcW w:w="2552" w:type="dxa"/>
            <w:tcBorders>
              <w:top w:val="single" w:sz="4" w:space="0" w:color="000000"/>
              <w:left w:val="single" w:sz="4" w:space="0" w:color="000000"/>
              <w:bottom w:val="single" w:sz="4" w:space="0" w:color="000000"/>
            </w:tcBorders>
          </w:tcPr>
          <w:p>
            <w:pPr>
              <w:pStyle w:val="Default"/>
              <w:bidi w:val="0"/>
              <w:snapToGrid w:val="false"/>
              <w:ind w:left="0" w:right="0" w:firstLine="176"/>
              <w:jc w:val="both"/>
              <w:rPr>
                <w:color w:val="000000"/>
                <w:sz w:val="20"/>
                <w:szCs w:val="20"/>
                <w:highlight w:val="lightGray"/>
              </w:rPr>
            </w:pPr>
            <w:r>
              <w:rPr>
                <w:color w:val="000000"/>
                <w:sz w:val="20"/>
                <w:szCs w:val="20"/>
                <w:highlight w:val="lightGray"/>
              </w:rPr>
            </w:r>
          </w:p>
        </w:tc>
        <w:tc>
          <w:tcPr>
            <w:tcW w:w="4252" w:type="dxa"/>
            <w:tcBorders>
              <w:top w:val="single" w:sz="4" w:space="0" w:color="000000"/>
              <w:left w:val="single" w:sz="4" w:space="0" w:color="000000"/>
              <w:bottom w:val="single" w:sz="4" w:space="0" w:color="000000"/>
            </w:tcBorders>
          </w:tcPr>
          <w:p>
            <w:pPr>
              <w:pStyle w:val="21"/>
              <w:spacing w:lineRule="auto" w:line="240"/>
              <w:jc w:val="both"/>
              <w:rPr>
                <w:sz w:val="20"/>
                <w:szCs w:val="20"/>
                <w:lang w:val="uk-UA"/>
              </w:rPr>
            </w:pPr>
            <w:r>
              <w:rPr>
                <w:sz w:val="20"/>
                <w:szCs w:val="20"/>
                <w:lang w:val="uk-UA"/>
              </w:rPr>
              <w:t>Інформація про екологічні проблеми наведена у пункті IV потребує доопрацювання.</w:t>
            </w:r>
          </w:p>
        </w:tc>
        <w:tc>
          <w:tcPr>
            <w:tcW w:w="1559" w:type="dxa"/>
            <w:tcBorders>
              <w:top w:val="single" w:sz="4" w:space="0" w:color="000000"/>
              <w:left w:val="single" w:sz="4" w:space="0" w:color="000000"/>
              <w:bottom w:val="single" w:sz="4" w:space="0" w:color="000000"/>
            </w:tcBorders>
          </w:tcPr>
          <w:p>
            <w:pPr>
              <w:pStyle w:val="Normal"/>
              <w:jc w:val="center"/>
              <w:rPr>
                <w:color w:val="000000"/>
                <w:sz w:val="20"/>
                <w:szCs w:val="20"/>
              </w:rPr>
            </w:pPr>
            <w:r>
              <w:rPr>
                <w:color w:val="000000"/>
                <w:sz w:val="20"/>
                <w:szCs w:val="20"/>
              </w:rPr>
              <w:t>Не враховано</w:t>
            </w:r>
          </w:p>
        </w:tc>
        <w:tc>
          <w:tcPr>
            <w:tcW w:w="4140"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szCs w:val="20"/>
              </w:rPr>
              <w:t xml:space="preserve">У розділі IV Звіту про СЕО надана інформація про екологічні проблеми міста, що були виявлені під час збору вихідних даних, в тому числі інформація що була отримана від місцевих органів виконавчої влади що реалізують державну політику в сфері охорони довкілля та від представників місцевої адміністрації з питань екології. </w:t>
            </w:r>
          </w:p>
          <w:p>
            <w:pPr>
              <w:pStyle w:val="Normal"/>
              <w:jc w:val="both"/>
              <w:rPr>
                <w:sz w:val="20"/>
                <w:szCs w:val="20"/>
              </w:rPr>
            </w:pPr>
            <w:r>
              <w:rPr>
                <w:sz w:val="20"/>
                <w:szCs w:val="20"/>
              </w:rPr>
              <w:t xml:space="preserve">В зазначеному розділі висвітлюються екологічні проблеми, що стосуються документа державного планування. Тобто вирішення яких повністю або частково може бути здійснене при виконанні цілей та завдань містобудівної документації – генеральний план населеного пункту. </w:t>
            </w:r>
          </w:p>
          <w:p>
            <w:pPr>
              <w:pStyle w:val="Normal"/>
              <w:jc w:val="both"/>
              <w:rPr>
                <w:sz w:val="20"/>
                <w:szCs w:val="20"/>
              </w:rPr>
            </w:pPr>
            <w:r>
              <w:rPr>
                <w:sz w:val="20"/>
                <w:szCs w:val="20"/>
              </w:rPr>
              <w:t xml:space="preserve">Відсутність визначення конкретних питань або факторів, що потребують доопрацювання унеможливлює подальше розкриття теми та врахування наданої пропозиції. </w:t>
            </w:r>
          </w:p>
        </w:tc>
      </w:tr>
      <w:tr>
        <w:trPr>
          <w:trHeight w:val="444" w:hRule="atLeast"/>
        </w:trPr>
        <w:tc>
          <w:tcPr>
            <w:tcW w:w="425" w:type="dxa"/>
            <w:tcBorders>
              <w:top w:val="single" w:sz="4" w:space="0" w:color="000000"/>
              <w:left w:val="single" w:sz="4" w:space="0" w:color="000000"/>
              <w:bottom w:val="single" w:sz="4" w:space="0" w:color="000000"/>
            </w:tcBorders>
          </w:tcPr>
          <w:p>
            <w:pPr>
              <w:pStyle w:val="Normal"/>
              <w:jc w:val="both"/>
              <w:rPr>
                <w:color w:val="000000"/>
                <w:sz w:val="20"/>
                <w:szCs w:val="20"/>
              </w:rPr>
            </w:pPr>
            <w:r>
              <w:rPr>
                <w:color w:val="000000"/>
                <w:sz w:val="20"/>
                <w:szCs w:val="20"/>
              </w:rPr>
              <w:t>2</w:t>
            </w:r>
          </w:p>
        </w:tc>
        <w:tc>
          <w:tcPr>
            <w:tcW w:w="2127" w:type="dxa"/>
            <w:tcBorders>
              <w:top w:val="single" w:sz="4" w:space="0" w:color="000000"/>
              <w:left w:val="single" w:sz="4" w:space="0" w:color="000000"/>
              <w:bottom w:val="single" w:sz="4" w:space="0" w:color="000000"/>
            </w:tcBorders>
          </w:tcPr>
          <w:p>
            <w:pPr>
              <w:pStyle w:val="Normal"/>
              <w:rPr/>
            </w:pPr>
            <w:r>
              <w:rPr>
                <w:sz w:val="20"/>
                <w:szCs w:val="20"/>
              </w:rPr>
              <w:t xml:space="preserve">Департамент охорони здоров’я </w:t>
            </w:r>
            <w:r>
              <w:rPr>
                <w:rStyle w:val="Rvts0"/>
                <w:sz w:val="20"/>
                <w:szCs w:val="20"/>
              </w:rPr>
              <w:t>Донецької обласної державної адміністрації</w:t>
            </w:r>
          </w:p>
        </w:tc>
        <w:tc>
          <w:tcPr>
            <w:tcW w:w="2552" w:type="dxa"/>
            <w:tcBorders>
              <w:top w:val="single" w:sz="4" w:space="0" w:color="000000"/>
              <w:left w:val="single" w:sz="4" w:space="0" w:color="000000"/>
              <w:bottom w:val="single" w:sz="4" w:space="0" w:color="000000"/>
            </w:tcBorders>
          </w:tcPr>
          <w:p>
            <w:pPr>
              <w:pStyle w:val="Default"/>
              <w:bidi w:val="0"/>
              <w:snapToGrid w:val="false"/>
              <w:ind w:left="0" w:right="0" w:firstLine="176"/>
              <w:jc w:val="both"/>
              <w:rPr>
                <w:color w:val="000000"/>
                <w:sz w:val="20"/>
                <w:szCs w:val="20"/>
                <w:highlight w:val="lightGray"/>
                <w:lang w:val="uk-UA"/>
              </w:rPr>
            </w:pPr>
            <w:r>
              <w:rPr>
                <w:color w:val="000000"/>
                <w:sz w:val="20"/>
                <w:szCs w:val="20"/>
                <w:highlight w:val="lightGray"/>
                <w:lang w:val="uk-UA"/>
              </w:rPr>
            </w:r>
          </w:p>
        </w:tc>
        <w:tc>
          <w:tcPr>
            <w:tcW w:w="4252" w:type="dxa"/>
            <w:tcBorders>
              <w:top w:val="single" w:sz="4" w:space="0" w:color="000000"/>
              <w:left w:val="single" w:sz="4" w:space="0" w:color="000000"/>
              <w:bottom w:val="single" w:sz="4" w:space="0" w:color="000000"/>
            </w:tcBorders>
          </w:tcPr>
          <w:p>
            <w:pPr>
              <w:pStyle w:val="21"/>
              <w:spacing w:lineRule="auto" w:line="240"/>
              <w:jc w:val="both"/>
              <w:rPr>
                <w:sz w:val="20"/>
                <w:szCs w:val="20"/>
                <w:lang w:val="uk-UA"/>
              </w:rPr>
            </w:pPr>
            <w:r>
              <w:rPr>
                <w:sz w:val="20"/>
                <w:szCs w:val="20"/>
                <w:lang w:val="uk-UA"/>
              </w:rPr>
              <w:t xml:space="preserve">Надані загальні рекомендації відповідно вимог Закону України «Про стратегічну екологічну оцінку». </w:t>
            </w:r>
          </w:p>
          <w:p>
            <w:pPr>
              <w:pStyle w:val="12"/>
              <w:tabs>
                <w:tab w:val="clear" w:pos="708"/>
                <w:tab w:val="left" w:pos="316" w:leader="none"/>
              </w:tabs>
              <w:ind w:left="33" w:right="0" w:hanging="0"/>
              <w:jc w:val="both"/>
              <w:rPr>
                <w:sz w:val="20"/>
                <w:szCs w:val="20"/>
              </w:rPr>
            </w:pPr>
            <w:r>
              <w:rPr>
                <w:sz w:val="20"/>
                <w:szCs w:val="20"/>
              </w:rPr>
              <w:t>Зауваження та пропозиції до проектних рішень містобудівної документації відсутні.</w:t>
            </w:r>
          </w:p>
        </w:tc>
        <w:tc>
          <w:tcPr>
            <w:tcW w:w="1559" w:type="dxa"/>
            <w:tcBorders>
              <w:top w:val="single" w:sz="4" w:space="0" w:color="000000"/>
              <w:left w:val="single" w:sz="4" w:space="0" w:color="000000"/>
              <w:bottom w:val="single" w:sz="4" w:space="0" w:color="000000"/>
            </w:tcBorders>
          </w:tcPr>
          <w:p>
            <w:pPr>
              <w:pStyle w:val="Normal"/>
              <w:jc w:val="center"/>
              <w:rPr>
                <w:color w:val="000000"/>
                <w:sz w:val="20"/>
                <w:szCs w:val="20"/>
              </w:rPr>
            </w:pPr>
            <w:r>
              <w:rPr>
                <w:color w:val="000000"/>
                <w:sz w:val="20"/>
                <w:szCs w:val="20"/>
              </w:rPr>
              <w:t>-</w:t>
            </w:r>
          </w:p>
        </w:tc>
        <w:tc>
          <w:tcPr>
            <w:tcW w:w="4140"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20"/>
                <w:szCs w:val="20"/>
              </w:rPr>
            </w:pPr>
            <w:r>
              <w:rPr>
                <w:color w:val="000000"/>
                <w:sz w:val="20"/>
                <w:szCs w:val="20"/>
              </w:rPr>
              <w:t>-</w:t>
            </w:r>
          </w:p>
        </w:tc>
      </w:tr>
      <w:tr>
        <w:trPr>
          <w:trHeight w:val="848" w:hRule="atLeast"/>
        </w:trPr>
        <w:tc>
          <w:tcPr>
            <w:tcW w:w="425" w:type="dxa"/>
            <w:tcBorders>
              <w:top w:val="single" w:sz="4" w:space="0" w:color="000000"/>
              <w:left w:val="single" w:sz="4" w:space="0" w:color="000000"/>
              <w:bottom w:val="single" w:sz="4" w:space="0" w:color="000000"/>
            </w:tcBorders>
          </w:tcPr>
          <w:p>
            <w:pPr>
              <w:pStyle w:val="Normal"/>
              <w:jc w:val="both"/>
              <w:rPr>
                <w:color w:val="000000"/>
                <w:sz w:val="20"/>
                <w:szCs w:val="20"/>
              </w:rPr>
            </w:pPr>
            <w:r>
              <w:rPr>
                <w:color w:val="000000"/>
                <w:sz w:val="20"/>
                <w:szCs w:val="20"/>
              </w:rPr>
              <w:t>3</w:t>
            </w:r>
          </w:p>
        </w:tc>
        <w:tc>
          <w:tcPr>
            <w:tcW w:w="2127" w:type="dxa"/>
            <w:tcBorders>
              <w:top w:val="single" w:sz="4" w:space="0" w:color="000000"/>
              <w:left w:val="single" w:sz="4" w:space="0" w:color="000000"/>
              <w:bottom w:val="single" w:sz="4" w:space="0" w:color="000000"/>
            </w:tcBorders>
          </w:tcPr>
          <w:p>
            <w:pPr>
              <w:pStyle w:val="Normal"/>
              <w:rPr>
                <w:color w:val="000000"/>
                <w:sz w:val="20"/>
                <w:szCs w:val="20"/>
              </w:rPr>
            </w:pPr>
            <w:r>
              <w:rPr>
                <w:color w:val="000000"/>
                <w:sz w:val="20"/>
                <w:szCs w:val="20"/>
              </w:rPr>
              <w:t>Міністерство енергетики та захисту довкілля України</w:t>
            </w:r>
          </w:p>
        </w:tc>
        <w:tc>
          <w:tcPr>
            <w:tcW w:w="2552" w:type="dxa"/>
            <w:tcBorders>
              <w:top w:val="single" w:sz="4" w:space="0" w:color="000000"/>
              <w:left w:val="single" w:sz="4" w:space="0" w:color="000000"/>
              <w:bottom w:val="single" w:sz="4" w:space="0" w:color="000000"/>
            </w:tcBorders>
          </w:tcPr>
          <w:p>
            <w:pPr>
              <w:pStyle w:val="Default"/>
              <w:bidi w:val="0"/>
              <w:snapToGrid w:val="false"/>
              <w:ind w:left="0" w:right="0" w:firstLine="176"/>
              <w:jc w:val="both"/>
              <w:rPr>
                <w:color w:val="000000"/>
                <w:sz w:val="20"/>
                <w:szCs w:val="20"/>
                <w:highlight w:val="lightGray"/>
                <w:lang w:val="uk-UA"/>
              </w:rPr>
            </w:pPr>
            <w:r>
              <w:rPr>
                <w:color w:val="000000"/>
                <w:sz w:val="20"/>
                <w:szCs w:val="20"/>
                <w:highlight w:val="lightGray"/>
                <w:lang w:val="uk-UA"/>
              </w:rPr>
            </w:r>
          </w:p>
        </w:tc>
        <w:tc>
          <w:tcPr>
            <w:tcW w:w="4252" w:type="dxa"/>
            <w:tcBorders>
              <w:top w:val="single" w:sz="4" w:space="0" w:color="000000"/>
              <w:left w:val="single" w:sz="4" w:space="0" w:color="000000"/>
              <w:bottom w:val="single" w:sz="4" w:space="0" w:color="000000"/>
            </w:tcBorders>
          </w:tcPr>
          <w:p>
            <w:pPr>
              <w:pStyle w:val="Normal"/>
              <w:jc w:val="center"/>
              <w:rPr>
                <w:sz w:val="20"/>
                <w:szCs w:val="20"/>
              </w:rPr>
            </w:pPr>
            <w:r>
              <w:rPr>
                <w:sz w:val="20"/>
                <w:szCs w:val="20"/>
              </w:rPr>
              <w:t>Зауваження та пропозиції відсутні</w:t>
            </w:r>
          </w:p>
        </w:tc>
        <w:tc>
          <w:tcPr>
            <w:tcW w:w="1559" w:type="dxa"/>
            <w:tcBorders>
              <w:top w:val="single" w:sz="4" w:space="0" w:color="000000"/>
              <w:left w:val="single" w:sz="4" w:space="0" w:color="000000"/>
              <w:bottom w:val="single" w:sz="4" w:space="0" w:color="000000"/>
            </w:tcBorders>
          </w:tcPr>
          <w:p>
            <w:pPr>
              <w:pStyle w:val="Normal"/>
              <w:jc w:val="center"/>
              <w:rPr>
                <w:color w:val="000000"/>
                <w:sz w:val="20"/>
                <w:szCs w:val="20"/>
              </w:rPr>
            </w:pPr>
            <w:r>
              <w:rPr>
                <w:color w:val="000000"/>
                <w:sz w:val="20"/>
                <w:szCs w:val="20"/>
              </w:rPr>
              <w:t>-</w:t>
            </w:r>
          </w:p>
        </w:tc>
        <w:tc>
          <w:tcPr>
            <w:tcW w:w="4140"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20"/>
                <w:szCs w:val="20"/>
              </w:rPr>
            </w:pPr>
            <w:r>
              <w:rPr>
                <w:color w:val="000000"/>
                <w:sz w:val="20"/>
                <w:szCs w:val="20"/>
              </w:rPr>
              <w:t>-</w:t>
            </w:r>
          </w:p>
        </w:tc>
      </w:tr>
      <w:tr>
        <w:trPr>
          <w:trHeight w:val="1415" w:hRule="atLeast"/>
        </w:trPr>
        <w:tc>
          <w:tcPr>
            <w:tcW w:w="425" w:type="dxa"/>
            <w:tcBorders>
              <w:top w:val="single" w:sz="4" w:space="0" w:color="000000"/>
              <w:left w:val="single" w:sz="4" w:space="0" w:color="000000"/>
              <w:bottom w:val="single" w:sz="4" w:space="0" w:color="000000"/>
            </w:tcBorders>
          </w:tcPr>
          <w:p>
            <w:pPr>
              <w:pStyle w:val="Normal"/>
              <w:jc w:val="both"/>
              <w:rPr>
                <w:color w:val="000000"/>
                <w:sz w:val="20"/>
                <w:szCs w:val="20"/>
              </w:rPr>
            </w:pPr>
            <w:r>
              <w:rPr>
                <w:color w:val="000000"/>
                <w:sz w:val="20"/>
                <w:szCs w:val="20"/>
              </w:rPr>
              <w:t>4</w:t>
            </w:r>
          </w:p>
        </w:tc>
        <w:tc>
          <w:tcPr>
            <w:tcW w:w="2127" w:type="dxa"/>
            <w:tcBorders>
              <w:top w:val="single" w:sz="4" w:space="0" w:color="000000"/>
              <w:left w:val="single" w:sz="4" w:space="0" w:color="000000"/>
              <w:bottom w:val="single" w:sz="4" w:space="0" w:color="000000"/>
            </w:tcBorders>
          </w:tcPr>
          <w:p>
            <w:pPr>
              <w:pStyle w:val="Normal"/>
              <w:rPr>
                <w:color w:val="000000"/>
                <w:sz w:val="20"/>
                <w:szCs w:val="20"/>
              </w:rPr>
            </w:pPr>
            <w:r>
              <w:rPr>
                <w:color w:val="000000"/>
                <w:sz w:val="20"/>
                <w:szCs w:val="20"/>
              </w:rPr>
              <w:t>Міністерство охорони здоров’я України</w:t>
            </w:r>
          </w:p>
          <w:p>
            <w:pPr>
              <w:pStyle w:val="Normal"/>
              <w:rPr/>
            </w:pPr>
            <w:r>
              <w:rPr>
                <w:color w:val="000000"/>
                <w:sz w:val="20"/>
                <w:szCs w:val="20"/>
              </w:rPr>
              <w:t>(</w:t>
            </w:r>
            <w:r>
              <w:rPr>
                <w:rStyle w:val="2"/>
                <w:sz w:val="20"/>
                <w:szCs w:val="20"/>
              </w:rPr>
              <w:t>ДУ «Донецький обласний лабораторний центр МОЗ України»</w:t>
            </w:r>
            <w:r>
              <w:rPr>
                <w:color w:val="000000"/>
                <w:sz w:val="20"/>
                <w:szCs w:val="20"/>
              </w:rPr>
              <w:t xml:space="preserve">) </w:t>
            </w:r>
          </w:p>
        </w:tc>
        <w:tc>
          <w:tcPr>
            <w:tcW w:w="2552" w:type="dxa"/>
            <w:tcBorders>
              <w:top w:val="single" w:sz="4" w:space="0" w:color="000000"/>
              <w:left w:val="single" w:sz="4" w:space="0" w:color="000000"/>
              <w:bottom w:val="single" w:sz="4" w:space="0" w:color="000000"/>
            </w:tcBorders>
          </w:tcPr>
          <w:p>
            <w:pPr>
              <w:pStyle w:val="Default"/>
              <w:bidi w:val="0"/>
              <w:snapToGrid w:val="false"/>
              <w:ind w:left="0" w:right="0" w:firstLine="176"/>
              <w:jc w:val="both"/>
              <w:rPr>
                <w:color w:val="000000"/>
                <w:sz w:val="20"/>
                <w:szCs w:val="20"/>
                <w:highlight w:val="lightGray"/>
                <w:lang w:val="uk-UA"/>
              </w:rPr>
            </w:pPr>
            <w:r>
              <w:rPr>
                <w:color w:val="000000"/>
                <w:sz w:val="20"/>
                <w:szCs w:val="20"/>
                <w:highlight w:val="lightGray"/>
                <w:lang w:val="uk-UA"/>
              </w:rPr>
            </w:r>
          </w:p>
        </w:tc>
        <w:tc>
          <w:tcPr>
            <w:tcW w:w="4252" w:type="dxa"/>
            <w:tcBorders>
              <w:top w:val="single" w:sz="4" w:space="0" w:color="000000"/>
              <w:left w:val="single" w:sz="4" w:space="0" w:color="000000"/>
              <w:bottom w:val="single" w:sz="4" w:space="0" w:color="000000"/>
            </w:tcBorders>
          </w:tcPr>
          <w:p>
            <w:pPr>
              <w:pStyle w:val="Normal"/>
              <w:jc w:val="center"/>
              <w:rPr>
                <w:sz w:val="20"/>
                <w:szCs w:val="20"/>
              </w:rPr>
            </w:pPr>
            <w:r>
              <w:rPr>
                <w:sz w:val="20"/>
                <w:szCs w:val="20"/>
              </w:rPr>
              <w:t>Зауваження та пропозиції відсутні</w:t>
            </w:r>
          </w:p>
        </w:tc>
        <w:tc>
          <w:tcPr>
            <w:tcW w:w="1559" w:type="dxa"/>
            <w:tcBorders>
              <w:top w:val="single" w:sz="4" w:space="0" w:color="000000"/>
              <w:left w:val="single" w:sz="4" w:space="0" w:color="000000"/>
              <w:bottom w:val="single" w:sz="4" w:space="0" w:color="000000"/>
            </w:tcBorders>
          </w:tcPr>
          <w:p>
            <w:pPr>
              <w:pStyle w:val="Normal"/>
              <w:jc w:val="center"/>
              <w:rPr>
                <w:color w:val="000000"/>
                <w:sz w:val="20"/>
                <w:szCs w:val="20"/>
              </w:rPr>
            </w:pPr>
            <w:r>
              <w:rPr>
                <w:color w:val="000000"/>
                <w:sz w:val="20"/>
                <w:szCs w:val="20"/>
              </w:rPr>
              <w:t>-</w:t>
            </w:r>
          </w:p>
        </w:tc>
        <w:tc>
          <w:tcPr>
            <w:tcW w:w="4140"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20"/>
                <w:szCs w:val="20"/>
              </w:rPr>
            </w:pPr>
            <w:r>
              <w:rPr>
                <w:color w:val="000000"/>
                <w:sz w:val="20"/>
                <w:szCs w:val="20"/>
              </w:rPr>
              <w:t>-</w:t>
            </w:r>
          </w:p>
        </w:tc>
      </w:tr>
      <w:tr>
        <w:trPr/>
        <w:tc>
          <w:tcPr>
            <w:tcW w:w="15055" w:type="dxa"/>
            <w:gridSpan w:val="6"/>
            <w:tcBorders>
              <w:top w:val="single" w:sz="4" w:space="0" w:color="000000"/>
              <w:left w:val="single" w:sz="4" w:space="0" w:color="000000"/>
              <w:bottom w:val="single" w:sz="4" w:space="0" w:color="000000"/>
              <w:right w:val="single" w:sz="4" w:space="0" w:color="000000"/>
            </w:tcBorders>
          </w:tcPr>
          <w:p>
            <w:pPr>
              <w:pStyle w:val="Normal"/>
              <w:ind w:left="0" w:right="0" w:firstLine="176"/>
              <w:jc w:val="center"/>
              <w:rPr>
                <w:b/>
                <w:b/>
                <w:color w:val="000000"/>
                <w:sz w:val="20"/>
                <w:szCs w:val="20"/>
              </w:rPr>
            </w:pPr>
            <w:r>
              <w:rPr>
                <w:b/>
                <w:color w:val="000000"/>
                <w:sz w:val="20"/>
                <w:szCs w:val="20"/>
              </w:rPr>
              <w:t>До Звіту про СЕО</w:t>
            </w:r>
          </w:p>
        </w:tc>
      </w:tr>
      <w:tr>
        <w:trPr/>
        <w:tc>
          <w:tcPr>
            <w:tcW w:w="425" w:type="dxa"/>
            <w:vMerge w:val="restart"/>
            <w:tcBorders>
              <w:top w:val="single" w:sz="4" w:space="0" w:color="000000"/>
              <w:left w:val="single" w:sz="4" w:space="0" w:color="000000"/>
              <w:bottom w:val="single" w:sz="4" w:space="0" w:color="000000"/>
            </w:tcBorders>
          </w:tcPr>
          <w:p>
            <w:pPr>
              <w:pStyle w:val="Normal"/>
              <w:jc w:val="both"/>
              <w:rPr>
                <w:color w:val="000000"/>
                <w:sz w:val="20"/>
                <w:szCs w:val="20"/>
              </w:rPr>
            </w:pPr>
            <w:r>
              <w:rPr>
                <w:color w:val="000000"/>
                <w:sz w:val="20"/>
                <w:szCs w:val="20"/>
              </w:rPr>
              <w:t>1</w:t>
            </w:r>
          </w:p>
        </w:tc>
        <w:tc>
          <w:tcPr>
            <w:tcW w:w="2127" w:type="dxa"/>
            <w:vMerge w:val="restart"/>
            <w:tcBorders>
              <w:top w:val="single" w:sz="4" w:space="0" w:color="000000"/>
              <w:left w:val="single" w:sz="4" w:space="0" w:color="000000"/>
              <w:bottom w:val="single" w:sz="4" w:space="0" w:color="000000"/>
            </w:tcBorders>
          </w:tcPr>
          <w:p>
            <w:pPr>
              <w:pStyle w:val="Normal"/>
              <w:rPr/>
            </w:pPr>
            <w:r>
              <w:rPr>
                <w:rStyle w:val="Rvts0"/>
                <w:sz w:val="20"/>
                <w:szCs w:val="20"/>
              </w:rPr>
              <w:t>Департамент екології та природних ресурсів Донецької обласної державної адміністрації</w:t>
            </w:r>
          </w:p>
        </w:tc>
        <w:tc>
          <w:tcPr>
            <w:tcW w:w="2552" w:type="dxa"/>
            <w:tcBorders>
              <w:top w:val="single" w:sz="4" w:space="0" w:color="000000"/>
              <w:left w:val="single" w:sz="4" w:space="0" w:color="000000"/>
              <w:bottom w:val="single" w:sz="4" w:space="0" w:color="000000"/>
            </w:tcBorders>
          </w:tcPr>
          <w:p>
            <w:pPr>
              <w:pStyle w:val="Normal"/>
              <w:snapToGrid w:val="false"/>
              <w:ind w:left="0" w:right="0" w:firstLine="176"/>
              <w:jc w:val="both"/>
              <w:rPr>
                <w:color w:val="000000"/>
                <w:sz w:val="20"/>
                <w:szCs w:val="20"/>
                <w:highlight w:val="lightGray"/>
              </w:rPr>
            </w:pPr>
            <w:r>
              <w:rPr>
                <w:color w:val="000000"/>
                <w:sz w:val="20"/>
                <w:szCs w:val="20"/>
                <w:highlight w:val="lightGray"/>
              </w:rPr>
            </w:r>
          </w:p>
        </w:tc>
        <w:tc>
          <w:tcPr>
            <w:tcW w:w="4252" w:type="dxa"/>
            <w:tcBorders>
              <w:top w:val="single" w:sz="4" w:space="0" w:color="000000"/>
              <w:left w:val="single" w:sz="4" w:space="0" w:color="000000"/>
              <w:bottom w:val="single" w:sz="4" w:space="0" w:color="000000"/>
            </w:tcBorders>
          </w:tcPr>
          <w:p>
            <w:pPr>
              <w:pStyle w:val="Normal"/>
              <w:jc w:val="both"/>
              <w:rPr>
                <w:sz w:val="20"/>
                <w:szCs w:val="20"/>
              </w:rPr>
            </w:pPr>
            <w:r>
              <w:rPr>
                <w:sz w:val="20"/>
                <w:szCs w:val="20"/>
              </w:rPr>
              <w:t>Інформацію наведену у пункту 2 необхідно доопрацювати з урахуванням зауважень зазначених у пункті 13 наданих до документу державного планування.</w:t>
            </w:r>
          </w:p>
        </w:tc>
        <w:tc>
          <w:tcPr>
            <w:tcW w:w="1559" w:type="dxa"/>
            <w:tcBorders>
              <w:top w:val="single" w:sz="4" w:space="0" w:color="000000"/>
              <w:left w:val="single" w:sz="4" w:space="0" w:color="000000"/>
              <w:bottom w:val="single" w:sz="4" w:space="0" w:color="000000"/>
            </w:tcBorders>
          </w:tcPr>
          <w:p>
            <w:pPr>
              <w:pStyle w:val="Normal"/>
              <w:jc w:val="center"/>
              <w:rPr>
                <w:color w:val="000000"/>
                <w:sz w:val="20"/>
                <w:szCs w:val="20"/>
              </w:rPr>
            </w:pPr>
            <w:r>
              <w:rPr>
                <w:color w:val="000000"/>
                <w:sz w:val="20"/>
                <w:szCs w:val="20"/>
              </w:rPr>
              <w:t>Враховано</w:t>
            </w:r>
          </w:p>
        </w:tc>
        <w:tc>
          <w:tcPr>
            <w:tcW w:w="4140"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szCs w:val="20"/>
              </w:rPr>
              <w:t>В текстову частину містобудівної документації (Пояснювальну записку генерального плану, Звіту про стратегічну екологічну оцінку, Додаток 1, Додаток 2) внесені відповідні корегування.</w:t>
            </w:r>
          </w:p>
        </w:tc>
      </w:tr>
      <w:tr>
        <w:trPr/>
        <w:tc>
          <w:tcPr>
            <w:tcW w:w="425" w:type="dxa"/>
            <w:vMerge w:val="continue"/>
            <w:tcBorders>
              <w:top w:val="single" w:sz="4" w:space="0" w:color="000000"/>
              <w:left w:val="single" w:sz="4" w:space="0" w:color="000000"/>
              <w:bottom w:val="single" w:sz="4" w:space="0" w:color="000000"/>
            </w:tcBorders>
          </w:tcPr>
          <w:p>
            <w:pPr>
              <w:pStyle w:val="Normal"/>
              <w:snapToGrid w:val="false"/>
              <w:jc w:val="both"/>
              <w:rPr>
                <w:color w:val="000000"/>
                <w:sz w:val="20"/>
                <w:szCs w:val="20"/>
                <w:highlight w:val="lightGray"/>
              </w:rPr>
            </w:pPr>
            <w:r>
              <w:rPr>
                <w:color w:val="000000"/>
                <w:sz w:val="20"/>
                <w:szCs w:val="20"/>
                <w:highlight w:val="lightGray"/>
              </w:rPr>
            </w:r>
          </w:p>
        </w:tc>
        <w:tc>
          <w:tcPr>
            <w:tcW w:w="2127"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highlight w:val="lightGray"/>
              </w:rPr>
            </w:pPr>
            <w:r>
              <w:rPr>
                <w:color w:val="000000"/>
                <w:sz w:val="20"/>
                <w:szCs w:val="20"/>
                <w:highlight w:val="lightGray"/>
              </w:rPr>
            </w:r>
          </w:p>
        </w:tc>
        <w:tc>
          <w:tcPr>
            <w:tcW w:w="2552" w:type="dxa"/>
            <w:tcBorders>
              <w:top w:val="single" w:sz="4" w:space="0" w:color="000000"/>
              <w:left w:val="single" w:sz="4" w:space="0" w:color="000000"/>
              <w:bottom w:val="single" w:sz="4" w:space="0" w:color="000000"/>
            </w:tcBorders>
          </w:tcPr>
          <w:p>
            <w:pPr>
              <w:pStyle w:val="Normal"/>
              <w:snapToGrid w:val="false"/>
              <w:ind w:left="0" w:right="0" w:firstLine="176"/>
              <w:jc w:val="both"/>
              <w:rPr>
                <w:color w:val="000000"/>
                <w:sz w:val="20"/>
                <w:szCs w:val="20"/>
                <w:highlight w:val="lightGray"/>
              </w:rPr>
            </w:pPr>
            <w:r>
              <w:rPr>
                <w:color w:val="000000"/>
                <w:sz w:val="20"/>
                <w:szCs w:val="20"/>
                <w:highlight w:val="lightGray"/>
              </w:rPr>
            </w:r>
          </w:p>
        </w:tc>
        <w:tc>
          <w:tcPr>
            <w:tcW w:w="4252" w:type="dxa"/>
            <w:tcBorders>
              <w:top w:val="single" w:sz="4" w:space="0" w:color="000000"/>
              <w:left w:val="single" w:sz="4" w:space="0" w:color="000000"/>
              <w:bottom w:val="single" w:sz="4" w:space="0" w:color="000000"/>
            </w:tcBorders>
          </w:tcPr>
          <w:p>
            <w:pPr>
              <w:pStyle w:val="Normal"/>
              <w:jc w:val="both"/>
              <w:rPr>
                <w:sz w:val="20"/>
                <w:szCs w:val="20"/>
              </w:rPr>
            </w:pPr>
            <w:r>
              <w:rPr>
                <w:sz w:val="20"/>
                <w:szCs w:val="20"/>
              </w:rPr>
              <w:t>Не в повному обсязі надано інформацію щодо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врахуванням таких зобов’язань під час підготовки документа державного планування.</w:t>
            </w:r>
          </w:p>
        </w:tc>
        <w:tc>
          <w:tcPr>
            <w:tcW w:w="1559" w:type="dxa"/>
            <w:tcBorders>
              <w:top w:val="single" w:sz="4" w:space="0" w:color="000000"/>
              <w:left w:val="single" w:sz="4" w:space="0" w:color="000000"/>
              <w:bottom w:val="single" w:sz="4" w:space="0" w:color="000000"/>
            </w:tcBorders>
          </w:tcPr>
          <w:p>
            <w:pPr>
              <w:pStyle w:val="Normal"/>
              <w:jc w:val="center"/>
              <w:rPr>
                <w:color w:val="000000"/>
                <w:sz w:val="20"/>
                <w:szCs w:val="20"/>
              </w:rPr>
            </w:pPr>
            <w:r>
              <w:rPr>
                <w:color w:val="000000"/>
                <w:sz w:val="20"/>
                <w:szCs w:val="20"/>
              </w:rPr>
              <w:t>Не враховано</w:t>
            </w:r>
          </w:p>
        </w:tc>
        <w:tc>
          <w:tcPr>
            <w:tcW w:w="4140"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szCs w:val="20"/>
              </w:rPr>
              <w:t>Відсутність рекомендацій щодо точного переліку зобов’язань, що відповідають поняттю повного обсягу, унеможливлює врахування наданої пропозиції.</w:t>
            </w:r>
          </w:p>
        </w:tc>
      </w:tr>
      <w:tr>
        <w:trPr/>
        <w:tc>
          <w:tcPr>
            <w:tcW w:w="425" w:type="dxa"/>
            <w:vMerge w:val="continue"/>
            <w:tcBorders>
              <w:top w:val="single" w:sz="4" w:space="0" w:color="000000"/>
              <w:left w:val="single" w:sz="4" w:space="0" w:color="000000"/>
              <w:bottom w:val="single" w:sz="4" w:space="0" w:color="000000"/>
            </w:tcBorders>
          </w:tcPr>
          <w:p>
            <w:pPr>
              <w:pStyle w:val="Normal"/>
              <w:snapToGrid w:val="false"/>
              <w:jc w:val="both"/>
              <w:rPr>
                <w:color w:val="000000"/>
                <w:sz w:val="20"/>
                <w:szCs w:val="20"/>
                <w:highlight w:val="lightGray"/>
              </w:rPr>
            </w:pPr>
            <w:r>
              <w:rPr>
                <w:color w:val="000000"/>
                <w:sz w:val="20"/>
                <w:szCs w:val="20"/>
                <w:highlight w:val="lightGray"/>
              </w:rPr>
            </w:r>
          </w:p>
        </w:tc>
        <w:tc>
          <w:tcPr>
            <w:tcW w:w="2127"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highlight w:val="lightGray"/>
              </w:rPr>
            </w:pPr>
            <w:r>
              <w:rPr>
                <w:color w:val="000000"/>
                <w:sz w:val="20"/>
                <w:szCs w:val="20"/>
                <w:highlight w:val="lightGray"/>
              </w:rPr>
            </w:r>
          </w:p>
        </w:tc>
        <w:tc>
          <w:tcPr>
            <w:tcW w:w="2552" w:type="dxa"/>
            <w:tcBorders>
              <w:top w:val="single" w:sz="4" w:space="0" w:color="000000"/>
              <w:left w:val="single" w:sz="4" w:space="0" w:color="000000"/>
              <w:bottom w:val="single" w:sz="4" w:space="0" w:color="000000"/>
            </w:tcBorders>
          </w:tcPr>
          <w:p>
            <w:pPr>
              <w:pStyle w:val="Normal"/>
              <w:snapToGrid w:val="false"/>
              <w:ind w:left="0" w:right="0" w:firstLine="176"/>
              <w:jc w:val="both"/>
              <w:rPr>
                <w:color w:val="000000"/>
                <w:sz w:val="20"/>
                <w:szCs w:val="20"/>
                <w:highlight w:val="lightGray"/>
              </w:rPr>
            </w:pPr>
            <w:r>
              <w:rPr>
                <w:color w:val="000000"/>
                <w:sz w:val="20"/>
                <w:szCs w:val="20"/>
                <w:highlight w:val="lightGray"/>
              </w:rPr>
            </w:r>
          </w:p>
        </w:tc>
        <w:tc>
          <w:tcPr>
            <w:tcW w:w="4252" w:type="dxa"/>
            <w:tcBorders>
              <w:top w:val="single" w:sz="4" w:space="0" w:color="000000"/>
              <w:left w:val="single" w:sz="4" w:space="0" w:color="000000"/>
              <w:bottom w:val="single" w:sz="4" w:space="0" w:color="000000"/>
            </w:tcBorders>
          </w:tcPr>
          <w:p>
            <w:pPr>
              <w:pStyle w:val="Normal"/>
              <w:jc w:val="both"/>
              <w:rPr>
                <w:sz w:val="20"/>
                <w:szCs w:val="20"/>
              </w:rPr>
            </w:pPr>
            <w:r>
              <w:rPr>
                <w:sz w:val="20"/>
                <w:szCs w:val="20"/>
              </w:rPr>
              <w:t>Інформацію наведену в розділі 9 Звіту необхідно доповнити інформацією про суб’єкта на якого покладено обов’язок здійснення заходів моніторингу наслідків виконання документа державного планування для довкілля,  у тому числі для здоров'я населення.</w:t>
            </w:r>
          </w:p>
        </w:tc>
        <w:tc>
          <w:tcPr>
            <w:tcW w:w="1559" w:type="dxa"/>
            <w:tcBorders>
              <w:top w:val="single" w:sz="4" w:space="0" w:color="000000"/>
              <w:left w:val="single" w:sz="4" w:space="0" w:color="000000"/>
              <w:bottom w:val="single" w:sz="4" w:space="0" w:color="000000"/>
            </w:tcBorders>
          </w:tcPr>
          <w:p>
            <w:pPr>
              <w:pStyle w:val="Normal"/>
              <w:jc w:val="center"/>
              <w:rPr>
                <w:color w:val="000000"/>
                <w:sz w:val="20"/>
                <w:szCs w:val="20"/>
              </w:rPr>
            </w:pPr>
            <w:r>
              <w:rPr>
                <w:color w:val="000000"/>
                <w:sz w:val="20"/>
                <w:szCs w:val="20"/>
              </w:rPr>
              <w:t>Враховано</w:t>
            </w:r>
          </w:p>
        </w:tc>
        <w:tc>
          <w:tcPr>
            <w:tcW w:w="4140"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szCs w:val="20"/>
              </w:rPr>
              <w:t>До розділу 9 Звіту про стратегічну екологічну оцінку документу державного планування, внесені доповнення наступної редакції:  «Згідно ст. 17 Закону України «Про стратегічну екологічну оцінку»  замовник у межах своєї компетенції здійснює моніторинг наслідків виконання документа державного планування для довкілля, у тому числі для здоров’я населення, один раз на рік оприлюднює його результати на своєму офіційному веб-сайті у мережі Інтернет та у разі виявлення не передбачених звітом про стратегічну екологічну оцінку негативних наслідків для довкілля, у тому числі для здоров’я населення, вживає заходів для їх усунення.»</w:t>
            </w:r>
          </w:p>
        </w:tc>
      </w:tr>
      <w:tr>
        <w:trPr/>
        <w:tc>
          <w:tcPr>
            <w:tcW w:w="425" w:type="dxa"/>
            <w:vMerge w:val="continue"/>
            <w:tcBorders>
              <w:top w:val="single" w:sz="4" w:space="0" w:color="000000"/>
              <w:left w:val="single" w:sz="4" w:space="0" w:color="000000"/>
              <w:bottom w:val="single" w:sz="4" w:space="0" w:color="000000"/>
            </w:tcBorders>
          </w:tcPr>
          <w:p>
            <w:pPr>
              <w:pStyle w:val="Normal"/>
              <w:snapToGrid w:val="false"/>
              <w:jc w:val="both"/>
              <w:rPr>
                <w:color w:val="000000"/>
                <w:sz w:val="20"/>
                <w:szCs w:val="20"/>
                <w:highlight w:val="lightGray"/>
              </w:rPr>
            </w:pPr>
            <w:r>
              <w:rPr>
                <w:color w:val="000000"/>
                <w:sz w:val="20"/>
                <w:szCs w:val="20"/>
                <w:highlight w:val="lightGray"/>
              </w:rPr>
            </w:r>
          </w:p>
        </w:tc>
        <w:tc>
          <w:tcPr>
            <w:tcW w:w="2127"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highlight w:val="lightGray"/>
              </w:rPr>
            </w:pPr>
            <w:r>
              <w:rPr>
                <w:color w:val="000000"/>
                <w:sz w:val="20"/>
                <w:szCs w:val="20"/>
                <w:highlight w:val="lightGray"/>
              </w:rPr>
            </w:r>
          </w:p>
        </w:tc>
        <w:tc>
          <w:tcPr>
            <w:tcW w:w="2552" w:type="dxa"/>
            <w:tcBorders>
              <w:top w:val="single" w:sz="4" w:space="0" w:color="000000"/>
              <w:left w:val="single" w:sz="4" w:space="0" w:color="000000"/>
              <w:bottom w:val="single" w:sz="4" w:space="0" w:color="000000"/>
            </w:tcBorders>
          </w:tcPr>
          <w:p>
            <w:pPr>
              <w:pStyle w:val="Normal"/>
              <w:snapToGrid w:val="false"/>
              <w:ind w:left="0" w:right="0" w:firstLine="176"/>
              <w:jc w:val="both"/>
              <w:rPr>
                <w:color w:val="000000"/>
                <w:sz w:val="20"/>
                <w:szCs w:val="20"/>
                <w:highlight w:val="lightGray"/>
              </w:rPr>
            </w:pPr>
            <w:r>
              <w:rPr>
                <w:color w:val="000000"/>
                <w:sz w:val="20"/>
                <w:szCs w:val="20"/>
                <w:highlight w:val="lightGray"/>
              </w:rPr>
            </w:r>
          </w:p>
        </w:tc>
        <w:tc>
          <w:tcPr>
            <w:tcW w:w="4252" w:type="dxa"/>
            <w:tcBorders>
              <w:top w:val="single" w:sz="4" w:space="0" w:color="000000"/>
              <w:left w:val="single" w:sz="4" w:space="0" w:color="000000"/>
              <w:bottom w:val="single" w:sz="4" w:space="0" w:color="000000"/>
            </w:tcBorders>
          </w:tcPr>
          <w:p>
            <w:pPr>
              <w:pStyle w:val="21"/>
              <w:spacing w:lineRule="auto" w:line="240"/>
              <w:jc w:val="both"/>
              <w:rPr>
                <w:sz w:val="20"/>
                <w:szCs w:val="20"/>
                <w:lang w:val="uk-UA"/>
              </w:rPr>
            </w:pPr>
            <w:r>
              <w:rPr>
                <w:sz w:val="20"/>
                <w:szCs w:val="20"/>
                <w:lang w:val="uk-UA"/>
              </w:rPr>
              <w:t>Заходи, що передбачається вжити для запобігання, зменшення та пом’якшення негативних наслідків виконання проекту документа державного планування вважаємо за доцільне доповнити заходами:</w:t>
            </w:r>
          </w:p>
          <w:p>
            <w:pPr>
              <w:pStyle w:val="21"/>
              <w:numPr>
                <w:ilvl w:val="0"/>
                <w:numId w:val="3"/>
              </w:numPr>
              <w:tabs>
                <w:tab w:val="clear" w:pos="708"/>
                <w:tab w:val="left" w:pos="171" w:leader="none"/>
              </w:tabs>
              <w:spacing w:lineRule="auto" w:line="240"/>
              <w:ind w:left="0" w:right="0" w:hanging="0"/>
              <w:jc w:val="both"/>
              <w:rPr/>
            </w:pPr>
            <w:r>
              <w:rPr>
                <w:sz w:val="20"/>
                <w:szCs w:val="20"/>
                <w:lang w:val="uk-UA"/>
              </w:rPr>
              <w:t>щодо зменшення техногенного навантаження на ґрунтове середовище порушених ділянок, що зазнали техногенного впливу в наслідок видобувної діяльності;</w:t>
            </w:r>
          </w:p>
          <w:p>
            <w:pPr>
              <w:pStyle w:val="21"/>
              <w:numPr>
                <w:ilvl w:val="0"/>
                <w:numId w:val="3"/>
              </w:numPr>
              <w:tabs>
                <w:tab w:val="clear" w:pos="708"/>
                <w:tab w:val="left" w:pos="171" w:leader="none"/>
              </w:tabs>
              <w:spacing w:lineRule="auto" w:line="240"/>
              <w:ind w:left="0" w:right="0" w:hanging="0"/>
              <w:jc w:val="both"/>
              <w:rPr>
                <w:sz w:val="20"/>
                <w:szCs w:val="20"/>
                <w:lang w:val="uk-UA"/>
              </w:rPr>
            </w:pPr>
            <w:r>
              <w:rPr>
                <w:sz w:val="20"/>
                <w:szCs w:val="20"/>
                <w:lang w:val="uk-UA"/>
              </w:rPr>
              <w:t>щодо рекультивації порушених ділянок, що утворилися в результаті видобутку корисних копалин;</w:t>
            </w:r>
          </w:p>
          <w:p>
            <w:pPr>
              <w:pStyle w:val="21"/>
              <w:numPr>
                <w:ilvl w:val="0"/>
                <w:numId w:val="3"/>
              </w:numPr>
              <w:tabs>
                <w:tab w:val="clear" w:pos="708"/>
                <w:tab w:val="left" w:pos="171" w:leader="none"/>
              </w:tabs>
              <w:spacing w:lineRule="auto" w:line="240"/>
              <w:ind w:left="0" w:right="0" w:hanging="0"/>
              <w:jc w:val="both"/>
              <w:rPr>
                <w:sz w:val="20"/>
                <w:szCs w:val="20"/>
                <w:lang w:val="uk-UA"/>
              </w:rPr>
            </w:pPr>
            <w:r>
              <w:rPr>
                <w:sz w:val="20"/>
                <w:szCs w:val="20"/>
                <w:lang w:val="uk-UA"/>
              </w:rPr>
              <w:t>щодо захисту від підтоплення ділянок з неглибоким рівнем залягання підземних вод;</w:t>
            </w:r>
          </w:p>
          <w:p>
            <w:pPr>
              <w:pStyle w:val="21"/>
              <w:numPr>
                <w:ilvl w:val="0"/>
                <w:numId w:val="3"/>
              </w:numPr>
              <w:tabs>
                <w:tab w:val="clear" w:pos="708"/>
                <w:tab w:val="left" w:pos="171" w:leader="none"/>
              </w:tabs>
              <w:spacing w:lineRule="auto" w:line="240"/>
              <w:ind w:left="0" w:right="0" w:hanging="0"/>
              <w:jc w:val="both"/>
              <w:rPr>
                <w:sz w:val="20"/>
                <w:szCs w:val="20"/>
                <w:lang w:val="uk-UA"/>
              </w:rPr>
            </w:pPr>
            <w:r>
              <w:rPr>
                <w:sz w:val="20"/>
                <w:szCs w:val="20"/>
                <w:lang w:val="uk-UA"/>
              </w:rPr>
              <w:t>щодо інженерної підготовки та захисту території та удосконалення системи дощової каналізації.</w:t>
            </w:r>
          </w:p>
        </w:tc>
        <w:tc>
          <w:tcPr>
            <w:tcW w:w="1559" w:type="dxa"/>
            <w:tcBorders>
              <w:top w:val="single" w:sz="4" w:space="0" w:color="000000"/>
              <w:left w:val="single" w:sz="4" w:space="0" w:color="000000"/>
              <w:bottom w:val="single" w:sz="4" w:space="0" w:color="000000"/>
            </w:tcBorders>
          </w:tcPr>
          <w:p>
            <w:pPr>
              <w:pStyle w:val="Normal"/>
              <w:jc w:val="center"/>
              <w:rPr>
                <w:color w:val="000000"/>
                <w:sz w:val="20"/>
                <w:szCs w:val="20"/>
              </w:rPr>
            </w:pPr>
            <w:r>
              <w:rPr>
                <w:color w:val="000000"/>
                <w:sz w:val="20"/>
                <w:szCs w:val="20"/>
              </w:rPr>
              <w:t>Не враховано</w:t>
            </w:r>
          </w:p>
        </w:tc>
        <w:tc>
          <w:tcPr>
            <w:tcW w:w="4140"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szCs w:val="20"/>
              </w:rPr>
              <w:t xml:space="preserve">Зазначені у пропозиції та заходи, детально висвітлені в пояснювальній записці генерального плану, в підрозділі «Інженерна підготовка та захист території»: щодо захисту території від підтоплення; рекультивації порушених територій; розвиток системи дощової каналізації. </w:t>
            </w:r>
          </w:p>
          <w:p>
            <w:pPr>
              <w:pStyle w:val="Normal"/>
              <w:jc w:val="both"/>
              <w:rPr>
                <w:sz w:val="20"/>
                <w:szCs w:val="20"/>
              </w:rPr>
            </w:pPr>
            <w:r>
              <w:rPr>
                <w:sz w:val="20"/>
                <w:szCs w:val="20"/>
              </w:rPr>
              <w:t>З метою уникнення повторень про необхідність їх виконання зазначено у в розділі 7 Звіту про стратегічну екологічну оцінку.</w:t>
            </w:r>
          </w:p>
          <w:p>
            <w:pPr>
              <w:pStyle w:val="Normal"/>
              <w:jc w:val="both"/>
              <w:rPr>
                <w:color w:val="FF0000"/>
                <w:sz w:val="20"/>
                <w:szCs w:val="20"/>
              </w:rPr>
            </w:pPr>
            <w:r>
              <w:rPr>
                <w:color w:val="FF0000"/>
                <w:sz w:val="20"/>
                <w:szCs w:val="20"/>
              </w:rPr>
            </w:r>
          </w:p>
        </w:tc>
      </w:tr>
      <w:tr>
        <w:trPr/>
        <w:tc>
          <w:tcPr>
            <w:tcW w:w="425" w:type="dxa"/>
            <w:tcBorders>
              <w:top w:val="single" w:sz="4" w:space="0" w:color="000000"/>
              <w:left w:val="single" w:sz="4" w:space="0" w:color="000000"/>
              <w:bottom w:val="single" w:sz="4" w:space="0" w:color="000000"/>
            </w:tcBorders>
          </w:tcPr>
          <w:p>
            <w:pPr>
              <w:pStyle w:val="Normal"/>
              <w:jc w:val="both"/>
              <w:rPr>
                <w:color w:val="000000"/>
                <w:sz w:val="20"/>
                <w:szCs w:val="20"/>
              </w:rPr>
            </w:pPr>
            <w:r>
              <w:rPr>
                <w:color w:val="000000"/>
                <w:sz w:val="20"/>
                <w:szCs w:val="20"/>
              </w:rPr>
              <w:t>2</w:t>
            </w:r>
          </w:p>
        </w:tc>
        <w:tc>
          <w:tcPr>
            <w:tcW w:w="2127" w:type="dxa"/>
            <w:tcBorders>
              <w:top w:val="single" w:sz="4" w:space="0" w:color="000000"/>
              <w:left w:val="single" w:sz="4" w:space="0" w:color="000000"/>
              <w:bottom w:val="single" w:sz="4" w:space="0" w:color="000000"/>
            </w:tcBorders>
          </w:tcPr>
          <w:p>
            <w:pPr>
              <w:pStyle w:val="Normal"/>
              <w:rPr/>
            </w:pPr>
            <w:r>
              <w:rPr>
                <w:sz w:val="20"/>
                <w:szCs w:val="20"/>
              </w:rPr>
              <w:t xml:space="preserve">Департамент охорони здоров’я </w:t>
            </w:r>
            <w:r>
              <w:rPr>
                <w:rStyle w:val="Rvts0"/>
                <w:sz w:val="20"/>
                <w:szCs w:val="20"/>
              </w:rPr>
              <w:t>Донецької обласної державної адміністрації</w:t>
            </w:r>
          </w:p>
        </w:tc>
        <w:tc>
          <w:tcPr>
            <w:tcW w:w="2552" w:type="dxa"/>
            <w:tcBorders>
              <w:top w:val="single" w:sz="4" w:space="0" w:color="000000"/>
              <w:left w:val="single" w:sz="4" w:space="0" w:color="000000"/>
              <w:bottom w:val="single" w:sz="4" w:space="0" w:color="000000"/>
            </w:tcBorders>
          </w:tcPr>
          <w:p>
            <w:pPr>
              <w:pStyle w:val="Default"/>
              <w:bidi w:val="0"/>
              <w:snapToGrid w:val="false"/>
              <w:ind w:left="0" w:right="0" w:firstLine="176"/>
              <w:jc w:val="both"/>
              <w:rPr>
                <w:color w:val="000000"/>
                <w:sz w:val="20"/>
                <w:szCs w:val="20"/>
                <w:highlight w:val="lightGray"/>
                <w:lang w:val="uk-UA"/>
              </w:rPr>
            </w:pPr>
            <w:r>
              <w:rPr>
                <w:color w:val="000000"/>
                <w:sz w:val="20"/>
                <w:szCs w:val="20"/>
                <w:highlight w:val="lightGray"/>
                <w:lang w:val="uk-UA"/>
              </w:rPr>
            </w:r>
          </w:p>
        </w:tc>
        <w:tc>
          <w:tcPr>
            <w:tcW w:w="4252" w:type="dxa"/>
            <w:tcBorders>
              <w:top w:val="single" w:sz="4" w:space="0" w:color="000000"/>
              <w:left w:val="single" w:sz="4" w:space="0" w:color="000000"/>
              <w:bottom w:val="single" w:sz="4" w:space="0" w:color="000000"/>
            </w:tcBorders>
          </w:tcPr>
          <w:p>
            <w:pPr>
              <w:pStyle w:val="21"/>
              <w:spacing w:lineRule="auto" w:line="240"/>
              <w:jc w:val="both"/>
              <w:rPr>
                <w:sz w:val="20"/>
                <w:szCs w:val="20"/>
                <w:lang w:val="uk-UA"/>
              </w:rPr>
            </w:pPr>
            <w:r>
              <w:rPr>
                <w:sz w:val="20"/>
                <w:szCs w:val="20"/>
                <w:lang w:val="uk-UA"/>
              </w:rPr>
              <w:t xml:space="preserve">Надані загальні рекомендації відповідно вимог Закону України «Про стратегічну екологічну оцінку». </w:t>
            </w:r>
          </w:p>
          <w:p>
            <w:pPr>
              <w:pStyle w:val="12"/>
              <w:tabs>
                <w:tab w:val="clear" w:pos="708"/>
                <w:tab w:val="left" w:pos="316" w:leader="none"/>
              </w:tabs>
              <w:ind w:left="33" w:right="0" w:hanging="0"/>
              <w:jc w:val="both"/>
              <w:rPr>
                <w:sz w:val="20"/>
                <w:szCs w:val="20"/>
              </w:rPr>
            </w:pPr>
            <w:r>
              <w:rPr>
                <w:sz w:val="20"/>
                <w:szCs w:val="20"/>
              </w:rPr>
              <w:t>Зауваження та пропозиції до проектних рішень містобудівної документації відсутні.</w:t>
            </w:r>
          </w:p>
        </w:tc>
        <w:tc>
          <w:tcPr>
            <w:tcW w:w="1559" w:type="dxa"/>
            <w:tcBorders>
              <w:top w:val="single" w:sz="4" w:space="0" w:color="000000"/>
              <w:left w:val="single" w:sz="4" w:space="0" w:color="000000"/>
              <w:bottom w:val="single" w:sz="4" w:space="0" w:color="000000"/>
            </w:tcBorders>
          </w:tcPr>
          <w:p>
            <w:pPr>
              <w:pStyle w:val="Normal"/>
              <w:jc w:val="center"/>
              <w:rPr>
                <w:color w:val="000000"/>
                <w:sz w:val="20"/>
                <w:szCs w:val="20"/>
              </w:rPr>
            </w:pPr>
            <w:r>
              <w:rPr>
                <w:color w:val="000000"/>
                <w:sz w:val="20"/>
                <w:szCs w:val="20"/>
              </w:rPr>
              <w:t>-</w:t>
            </w:r>
          </w:p>
        </w:tc>
        <w:tc>
          <w:tcPr>
            <w:tcW w:w="4140"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20"/>
                <w:szCs w:val="20"/>
              </w:rPr>
            </w:pPr>
            <w:r>
              <w:rPr>
                <w:color w:val="000000"/>
                <w:sz w:val="20"/>
                <w:szCs w:val="20"/>
              </w:rPr>
              <w:t>-</w:t>
            </w:r>
          </w:p>
        </w:tc>
      </w:tr>
      <w:tr>
        <w:trPr>
          <w:trHeight w:val="541" w:hRule="atLeast"/>
        </w:trPr>
        <w:tc>
          <w:tcPr>
            <w:tcW w:w="425" w:type="dxa"/>
            <w:vMerge w:val="restart"/>
            <w:tcBorders>
              <w:top w:val="single" w:sz="4" w:space="0" w:color="000000"/>
              <w:left w:val="single" w:sz="4" w:space="0" w:color="000000"/>
              <w:bottom w:val="single" w:sz="4" w:space="0" w:color="000000"/>
            </w:tcBorders>
          </w:tcPr>
          <w:p>
            <w:pPr>
              <w:pStyle w:val="Normal"/>
              <w:jc w:val="both"/>
              <w:rPr>
                <w:color w:val="000000"/>
                <w:sz w:val="20"/>
                <w:szCs w:val="20"/>
              </w:rPr>
            </w:pPr>
            <w:r>
              <w:rPr>
                <w:color w:val="000000"/>
                <w:sz w:val="20"/>
                <w:szCs w:val="20"/>
              </w:rPr>
              <w:t>3</w:t>
            </w:r>
          </w:p>
        </w:tc>
        <w:tc>
          <w:tcPr>
            <w:tcW w:w="2127" w:type="dxa"/>
            <w:vMerge w:val="restart"/>
            <w:tcBorders>
              <w:top w:val="single" w:sz="4" w:space="0" w:color="000000"/>
              <w:left w:val="single" w:sz="4" w:space="0" w:color="000000"/>
              <w:bottom w:val="single" w:sz="4" w:space="0" w:color="000000"/>
            </w:tcBorders>
          </w:tcPr>
          <w:p>
            <w:pPr>
              <w:pStyle w:val="Normal"/>
              <w:rPr>
                <w:color w:val="000000"/>
                <w:sz w:val="20"/>
                <w:szCs w:val="20"/>
              </w:rPr>
            </w:pPr>
            <w:r>
              <w:rPr>
                <w:color w:val="000000"/>
                <w:sz w:val="20"/>
                <w:szCs w:val="20"/>
              </w:rPr>
              <w:t>Міністерство енергетики та захисту довкілля України</w:t>
            </w:r>
          </w:p>
          <w:p>
            <w:pPr>
              <w:pStyle w:val="Normal"/>
              <w:rPr>
                <w:color w:val="000000"/>
                <w:sz w:val="20"/>
                <w:szCs w:val="20"/>
              </w:rPr>
            </w:pPr>
            <w:r>
              <w:rPr>
                <w:color w:val="000000"/>
                <w:sz w:val="20"/>
                <w:szCs w:val="20"/>
              </w:rPr>
            </w:r>
          </w:p>
        </w:tc>
        <w:tc>
          <w:tcPr>
            <w:tcW w:w="2552" w:type="dxa"/>
            <w:tcBorders>
              <w:top w:val="single" w:sz="4" w:space="0" w:color="000000"/>
              <w:left w:val="single" w:sz="4" w:space="0" w:color="000000"/>
              <w:bottom w:val="single" w:sz="4" w:space="0" w:color="000000"/>
            </w:tcBorders>
          </w:tcPr>
          <w:p>
            <w:pPr>
              <w:pStyle w:val="Normal"/>
              <w:snapToGrid w:val="false"/>
              <w:ind w:left="0" w:right="0" w:firstLine="176"/>
              <w:jc w:val="both"/>
              <w:rPr>
                <w:color w:val="000000"/>
                <w:sz w:val="20"/>
                <w:szCs w:val="20"/>
                <w:highlight w:val="lightGray"/>
              </w:rPr>
            </w:pPr>
            <w:r>
              <w:rPr>
                <w:color w:val="000000"/>
                <w:sz w:val="20"/>
                <w:szCs w:val="20"/>
                <w:highlight w:val="lightGray"/>
              </w:rPr>
            </w:r>
          </w:p>
        </w:tc>
        <w:tc>
          <w:tcPr>
            <w:tcW w:w="4252" w:type="dxa"/>
            <w:tcBorders>
              <w:top w:val="single" w:sz="4" w:space="0" w:color="000000"/>
              <w:left w:val="single" w:sz="4" w:space="0" w:color="000000"/>
              <w:bottom w:val="single" w:sz="4" w:space="0" w:color="000000"/>
            </w:tcBorders>
          </w:tcPr>
          <w:p>
            <w:pPr>
              <w:pStyle w:val="Normal"/>
              <w:jc w:val="both"/>
              <w:rPr>
                <w:sz w:val="20"/>
                <w:szCs w:val="20"/>
              </w:rPr>
            </w:pPr>
            <w:r>
              <w:rPr>
                <w:sz w:val="20"/>
                <w:szCs w:val="20"/>
              </w:rPr>
              <w:t>У розділі 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звіту наведено лише одну альтернативу, а саме нульовий сценарій.</w:t>
            </w:r>
          </w:p>
          <w:p>
            <w:pPr>
              <w:pStyle w:val="Normal"/>
              <w:jc w:val="both"/>
              <w:rPr>
                <w:sz w:val="20"/>
                <w:szCs w:val="20"/>
              </w:rPr>
            </w:pPr>
            <w:r>
              <w:rPr>
                <w:sz w:val="20"/>
                <w:szCs w:val="20"/>
              </w:rPr>
              <w:t>Проте Законом України «Про стратегічну екологічну оцінку» передбачено розгляд кількох альтернатив, у тому числі і тієї, за якої документ державного планування не буде затверджено.</w:t>
            </w:r>
          </w:p>
          <w:p>
            <w:pPr>
              <w:pStyle w:val="Normal"/>
              <w:jc w:val="both"/>
              <w:rPr>
                <w:sz w:val="20"/>
                <w:szCs w:val="20"/>
              </w:rPr>
            </w:pPr>
            <w:r>
              <w:rPr>
                <w:sz w:val="20"/>
                <w:szCs w:val="20"/>
              </w:rPr>
              <w:t>Обґрунтування вибору окремих проектних рішень в рамках Проекту не можна вважати обґрунтуванням вибору виправданих альтернатив щодо Проекту.</w:t>
            </w:r>
          </w:p>
          <w:p>
            <w:pPr>
              <w:pStyle w:val="Normal"/>
              <w:jc w:val="both"/>
              <w:rPr>
                <w:sz w:val="20"/>
                <w:szCs w:val="20"/>
              </w:rPr>
            </w:pPr>
            <w:r>
              <w:rPr>
                <w:sz w:val="20"/>
                <w:szCs w:val="20"/>
              </w:rPr>
              <w:t>Вищезазначене не дозволить виконати норму частини 6 статті 13 цього Закону відповідно до якої замовник у довідці про консультації обґрунтовує обрання саме цього документа державного планування у тому вигляді, в якому він запропонований до затвердження, серед інших виправданих альтернатив, представлених до розгляду.</w:t>
            </w:r>
          </w:p>
        </w:tc>
        <w:tc>
          <w:tcPr>
            <w:tcW w:w="1559" w:type="dxa"/>
            <w:tcBorders>
              <w:top w:val="single" w:sz="4" w:space="0" w:color="000000"/>
              <w:left w:val="single" w:sz="4" w:space="0" w:color="000000"/>
              <w:bottom w:val="single" w:sz="4" w:space="0" w:color="000000"/>
            </w:tcBorders>
          </w:tcPr>
          <w:p>
            <w:pPr>
              <w:pStyle w:val="Normal"/>
              <w:jc w:val="center"/>
              <w:rPr>
                <w:color w:val="000000"/>
                <w:sz w:val="20"/>
                <w:szCs w:val="20"/>
              </w:rPr>
            </w:pPr>
            <w:r>
              <w:rPr>
                <w:color w:val="000000"/>
                <w:sz w:val="20"/>
                <w:szCs w:val="20"/>
              </w:rPr>
              <w:t>Не враховано</w:t>
            </w:r>
          </w:p>
        </w:tc>
        <w:tc>
          <w:tcPr>
            <w:tcW w:w="4140"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szCs w:val="20"/>
              </w:rPr>
              <w:t>Нульовий сценарій це сценарій при якому документ державного планування не затверджується і відповідно не реалізовується.</w:t>
            </w:r>
          </w:p>
          <w:p>
            <w:pPr>
              <w:pStyle w:val="Normal"/>
              <w:jc w:val="both"/>
              <w:rPr>
                <w:sz w:val="20"/>
                <w:szCs w:val="20"/>
              </w:rPr>
            </w:pPr>
            <w:r>
              <w:rPr>
                <w:sz w:val="20"/>
                <w:szCs w:val="20"/>
              </w:rPr>
              <w:t>Відповідно до «Методичних рекомендацій із здійснення стратегічної екологічної оцінки документів державного планування», затверджених Міністерством екології та природних ресурсів України що затверджених Наказом Міністерства екології та природних ресурсів України від 10.08.2018р № 296 зі змінами, альтернативні сценарії можуть містити альтернативні шляхи досягнення обраних цілей і пріоритетів. В такому випадку альтернативи можуть містити подібний блок цілей, але відрізнятися різними напрямками економічного (в тому числі, промислового) і/або соціального розвитку. Зокрема, в Додатку 9 «Методичних рекомендацій … » наведено приклад СЕО генерального плану міста, де розглядається альтернативний варіант досягнення цілі щодо забезпечення міжміського транспортного сполучення, а саме - альтернативний варіант об’їзної дороги.</w:t>
            </w:r>
          </w:p>
          <w:p>
            <w:pPr>
              <w:pStyle w:val="Normal"/>
              <w:ind w:left="0" w:right="0" w:firstLine="432"/>
              <w:jc w:val="both"/>
              <w:rPr>
                <w:sz w:val="20"/>
                <w:szCs w:val="20"/>
              </w:rPr>
            </w:pPr>
            <w:r>
              <w:rPr>
                <w:sz w:val="20"/>
                <w:szCs w:val="20"/>
              </w:rPr>
              <w:t xml:space="preserve">Таким чином, у відповідності із рекомендаціями «Методичних рекомендацій … »  в якості альтернатив в проекті генерального плану були розглянуті окремі проектні рішення генерального плану в частині вирішення окремих цілей та завдань містобудівної документації. Зокрема, були розгляну альтернативі варіанти досягнення таких цілей, як: 1. розвиток та організація транспортної мережі міста, забезпечення транспортного обслуговування населення в межах міста;  та 2. виконання державних санітарних норм та правил в частині дотримання параметрів санітарно-захисної зони підприємства з метою забезпечення санітарно-гігієнічних норм на території сельбищної зони. </w:t>
            </w:r>
          </w:p>
        </w:tc>
      </w:tr>
      <w:tr>
        <w:trPr>
          <w:trHeight w:val="541" w:hRule="atLeast"/>
        </w:trPr>
        <w:tc>
          <w:tcPr>
            <w:tcW w:w="425" w:type="dxa"/>
            <w:vMerge w:val="continue"/>
            <w:tcBorders>
              <w:top w:val="single" w:sz="4" w:space="0" w:color="000000"/>
              <w:left w:val="single" w:sz="4" w:space="0" w:color="000000"/>
              <w:bottom w:val="single" w:sz="4" w:space="0" w:color="000000"/>
            </w:tcBorders>
          </w:tcPr>
          <w:p>
            <w:pPr>
              <w:pStyle w:val="Normal"/>
              <w:snapToGrid w:val="false"/>
              <w:jc w:val="both"/>
              <w:rPr>
                <w:color w:val="000000"/>
                <w:sz w:val="20"/>
                <w:szCs w:val="20"/>
                <w:highlight w:val="lightGray"/>
              </w:rPr>
            </w:pPr>
            <w:r>
              <w:rPr>
                <w:color w:val="000000"/>
                <w:sz w:val="20"/>
                <w:szCs w:val="20"/>
                <w:highlight w:val="lightGray"/>
              </w:rPr>
            </w:r>
          </w:p>
        </w:tc>
        <w:tc>
          <w:tcPr>
            <w:tcW w:w="2127" w:type="dxa"/>
            <w:vMerge w:val="continue"/>
            <w:tcBorders>
              <w:top w:val="single" w:sz="4" w:space="0" w:color="000000"/>
              <w:left w:val="single" w:sz="4" w:space="0" w:color="000000"/>
              <w:bottom w:val="single" w:sz="4" w:space="0" w:color="000000"/>
            </w:tcBorders>
          </w:tcPr>
          <w:p>
            <w:pPr>
              <w:pStyle w:val="Normal"/>
              <w:snapToGrid w:val="false"/>
              <w:rPr>
                <w:color w:val="000000"/>
                <w:sz w:val="20"/>
                <w:szCs w:val="20"/>
                <w:highlight w:val="lightGray"/>
              </w:rPr>
            </w:pPr>
            <w:r>
              <w:rPr>
                <w:color w:val="000000"/>
                <w:sz w:val="20"/>
                <w:szCs w:val="20"/>
                <w:highlight w:val="lightGray"/>
              </w:rPr>
            </w:r>
          </w:p>
        </w:tc>
        <w:tc>
          <w:tcPr>
            <w:tcW w:w="2552" w:type="dxa"/>
            <w:tcBorders>
              <w:top w:val="single" w:sz="4" w:space="0" w:color="000000"/>
              <w:left w:val="single" w:sz="4" w:space="0" w:color="000000"/>
              <w:bottom w:val="single" w:sz="4" w:space="0" w:color="000000"/>
            </w:tcBorders>
          </w:tcPr>
          <w:p>
            <w:pPr>
              <w:pStyle w:val="Normal"/>
              <w:snapToGrid w:val="false"/>
              <w:ind w:left="0" w:right="0" w:firstLine="176"/>
              <w:jc w:val="both"/>
              <w:rPr>
                <w:color w:val="000000"/>
                <w:sz w:val="20"/>
                <w:szCs w:val="20"/>
                <w:highlight w:val="lightGray"/>
              </w:rPr>
            </w:pPr>
            <w:r>
              <w:rPr>
                <w:color w:val="000000"/>
                <w:sz w:val="20"/>
                <w:szCs w:val="20"/>
                <w:highlight w:val="lightGray"/>
              </w:rPr>
            </w:r>
          </w:p>
        </w:tc>
        <w:tc>
          <w:tcPr>
            <w:tcW w:w="4252" w:type="dxa"/>
            <w:tcBorders>
              <w:top w:val="single" w:sz="4" w:space="0" w:color="000000"/>
              <w:left w:val="single" w:sz="4" w:space="0" w:color="000000"/>
              <w:bottom w:val="single" w:sz="4" w:space="0" w:color="000000"/>
            </w:tcBorders>
          </w:tcPr>
          <w:p>
            <w:pPr>
              <w:pStyle w:val="Normal"/>
              <w:jc w:val="both"/>
              <w:rPr>
                <w:sz w:val="20"/>
                <w:szCs w:val="20"/>
              </w:rPr>
            </w:pPr>
            <w:r>
              <w:rPr>
                <w:sz w:val="20"/>
                <w:szCs w:val="20"/>
              </w:rPr>
              <w:t>У розділі 9 «Заходи, передбачені для здійснення моніторингу наслідків виконання документу державного планування для довкілля, у тому числі для здоров'я населення» мають бути наведені як індикатори такого моніторингу наслідків виконання генерального плану, так і їх цільові значення, як фактичні на час затвердження цього Проекту, так і за роками планового періоду.</w:t>
            </w:r>
          </w:p>
          <w:p>
            <w:pPr>
              <w:pStyle w:val="Normal"/>
              <w:jc w:val="both"/>
              <w:rPr>
                <w:sz w:val="20"/>
                <w:szCs w:val="20"/>
              </w:rPr>
            </w:pPr>
            <w:r>
              <w:rPr>
                <w:sz w:val="20"/>
                <w:szCs w:val="20"/>
              </w:rPr>
              <w:t>Зазначене дозволить замовнику виконати вимоги статті 17 Закону України «Про стратегічну екологічну оцінку», а саме один раз на рік оприлюднювати результати моніторингу на своєму офіційному веб-сайті у мережі Інтернет та, у разі виявлення непередбачених звітом про стратегічну екологічну оцінку негативних наслідків для довкілля, у тому числі для здоров'я  населення, вживати заходів для їх усунення.</w:t>
            </w:r>
          </w:p>
        </w:tc>
        <w:tc>
          <w:tcPr>
            <w:tcW w:w="1559" w:type="dxa"/>
            <w:tcBorders>
              <w:top w:val="single" w:sz="4" w:space="0" w:color="000000"/>
              <w:left w:val="single" w:sz="4" w:space="0" w:color="000000"/>
              <w:bottom w:val="single" w:sz="4" w:space="0" w:color="000000"/>
            </w:tcBorders>
          </w:tcPr>
          <w:p>
            <w:pPr>
              <w:pStyle w:val="Normal"/>
              <w:jc w:val="center"/>
              <w:rPr>
                <w:sz w:val="20"/>
                <w:szCs w:val="20"/>
              </w:rPr>
            </w:pPr>
            <w:r>
              <w:rPr>
                <w:sz w:val="20"/>
                <w:szCs w:val="20"/>
              </w:rPr>
              <w:t>Враховано частково</w:t>
            </w:r>
          </w:p>
        </w:tc>
        <w:tc>
          <w:tcPr>
            <w:tcW w:w="4140"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sz w:val="20"/>
                <w:szCs w:val="20"/>
              </w:rPr>
            </w:pPr>
            <w:r>
              <w:rPr>
                <w:sz w:val="20"/>
                <w:szCs w:val="20"/>
              </w:rPr>
              <w:t>Цільовими значеннями індикаторів стану довкілля є нормативні значення забруднюючих речовин в складових елементах довкілля, які визначені відповідними державними стандартами та нормами, що затверджені наказами Міністерства екології та природних ресурсів (нині Міністерство енергетики та захисту довкілля) та Міністерством охорони здоров’я України. Фактичні значення індикаторів стану довкілля приведені у розділі 2 Звіту про СЕО відповідно наявних даних системи державного моніторингу довкілля та згідно даних системи моніторингу окремих підприємств на час складання звіту. Такі цільові значення за роками планового періоду реалізації проекту будуть постійними.</w:t>
            </w:r>
          </w:p>
          <w:p>
            <w:pPr>
              <w:pStyle w:val="Normal"/>
              <w:autoSpaceDE w:val="false"/>
              <w:jc w:val="both"/>
              <w:rPr>
                <w:sz w:val="20"/>
                <w:szCs w:val="20"/>
              </w:rPr>
            </w:pPr>
            <w:r>
              <w:rPr>
                <w:sz w:val="20"/>
                <w:szCs w:val="20"/>
              </w:rPr>
              <w:t xml:space="preserve">Цільовими значеннями індикаторів умов життєдіяльності населення, що обумовлюються шляхом реалізації проектних рішень містобудівної документації, є значення визначені в пояснювальній записці документу державного планування, в розділі “Основні техніко-економічні показники”. Визначення значення цих індикаторів за роками планового періоду є неможливим, оскільки їх реалізація може відбуватись у будь-який час розрахункового етапу проекту, терміном 20 років. </w:t>
            </w:r>
          </w:p>
          <w:p>
            <w:pPr>
              <w:pStyle w:val="Normal"/>
              <w:autoSpaceDE w:val="false"/>
              <w:jc w:val="both"/>
              <w:rPr>
                <w:sz w:val="20"/>
                <w:szCs w:val="20"/>
              </w:rPr>
            </w:pPr>
            <w:r>
              <w:rPr>
                <w:sz w:val="20"/>
                <w:szCs w:val="20"/>
              </w:rPr>
              <w:t xml:space="preserve">До розділу 9 Звіту про стратегічну екологічну оцінку проекту генплану, внесені доповнення наступної редакції:  </w:t>
            </w:r>
          </w:p>
          <w:p>
            <w:pPr>
              <w:pStyle w:val="Normal"/>
              <w:autoSpaceDE w:val="false"/>
              <w:jc w:val="both"/>
              <w:rPr>
                <w:sz w:val="20"/>
                <w:szCs w:val="20"/>
              </w:rPr>
            </w:pPr>
            <w:r>
              <w:rPr>
                <w:sz w:val="20"/>
                <w:szCs w:val="20"/>
              </w:rPr>
              <w:t>«Моніторинг наслідків виконання документа державного планування для довкілля, у тому числі для здоров’я населення необхідно здійснювати впродовж терміну дії генерального плану. Цільовими значеннями індикаторів стану довкілля є нормативні значення забруднюючих речовин в складових довкілля, які визначені відповідними державними стандартами та нормами, що затверджені наказами Мінекоенерго (Міністерства екології та природних ресурсів) та Міністерством охорони здоров’я України. Цільовими значеннями індикаторів умов життєдіяльності населення, що забезпечуються шляхом реалізації проектних рішень містобудівної документації, є значення визначені в розділі пояснювальної записки генерального плану “Основні техніко-економічні показники”. Систематичність проведення моніторингу довкілля у тому числі здоров’я населення необхідно визначати згідно вимог Постанови КМУ від 30.03.1998р. № 391 зі змінами. «Про затвердження Положення про державну систему моніторингу довкілля».</w:t>
            </w:r>
          </w:p>
        </w:tc>
      </w:tr>
      <w:tr>
        <w:trPr>
          <w:trHeight w:val="818" w:hRule="atLeast"/>
        </w:trPr>
        <w:tc>
          <w:tcPr>
            <w:tcW w:w="425" w:type="dxa"/>
            <w:tcBorders>
              <w:top w:val="single" w:sz="4" w:space="0" w:color="000000"/>
              <w:left w:val="single" w:sz="4" w:space="0" w:color="000000"/>
              <w:bottom w:val="single" w:sz="4" w:space="0" w:color="000000"/>
            </w:tcBorders>
          </w:tcPr>
          <w:p>
            <w:pPr>
              <w:pStyle w:val="Normal"/>
              <w:jc w:val="both"/>
              <w:rPr>
                <w:color w:val="000000"/>
                <w:sz w:val="20"/>
                <w:szCs w:val="20"/>
              </w:rPr>
            </w:pPr>
            <w:r>
              <w:rPr>
                <w:color w:val="000000"/>
                <w:sz w:val="20"/>
                <w:szCs w:val="20"/>
              </w:rPr>
              <w:t>4</w:t>
            </w:r>
          </w:p>
        </w:tc>
        <w:tc>
          <w:tcPr>
            <w:tcW w:w="2127" w:type="dxa"/>
            <w:tcBorders>
              <w:top w:val="single" w:sz="4" w:space="0" w:color="000000"/>
              <w:left w:val="single" w:sz="4" w:space="0" w:color="000000"/>
              <w:bottom w:val="single" w:sz="4" w:space="0" w:color="000000"/>
            </w:tcBorders>
          </w:tcPr>
          <w:p>
            <w:pPr>
              <w:pStyle w:val="Normal"/>
              <w:rPr>
                <w:color w:val="000000"/>
                <w:sz w:val="20"/>
                <w:szCs w:val="20"/>
              </w:rPr>
            </w:pPr>
            <w:r>
              <w:rPr>
                <w:color w:val="000000"/>
                <w:sz w:val="20"/>
                <w:szCs w:val="20"/>
              </w:rPr>
              <w:t>Міністерство охорони здоров’я України</w:t>
            </w:r>
          </w:p>
          <w:p>
            <w:pPr>
              <w:pStyle w:val="Normal"/>
              <w:rPr/>
            </w:pPr>
            <w:r>
              <w:rPr>
                <w:color w:val="000000"/>
                <w:sz w:val="20"/>
                <w:szCs w:val="20"/>
              </w:rPr>
              <w:t>(</w:t>
            </w:r>
            <w:r>
              <w:rPr>
                <w:rStyle w:val="2"/>
                <w:sz w:val="20"/>
                <w:szCs w:val="20"/>
              </w:rPr>
              <w:t>ДУ «Донецький обласний лабораторний центр МОЗ України»</w:t>
            </w:r>
            <w:r>
              <w:rPr>
                <w:color w:val="000000"/>
                <w:sz w:val="20"/>
                <w:szCs w:val="20"/>
              </w:rPr>
              <w:t xml:space="preserve">) </w:t>
            </w:r>
          </w:p>
        </w:tc>
        <w:tc>
          <w:tcPr>
            <w:tcW w:w="2552" w:type="dxa"/>
            <w:tcBorders>
              <w:top w:val="single" w:sz="4" w:space="0" w:color="000000"/>
              <w:left w:val="single" w:sz="4" w:space="0" w:color="000000"/>
              <w:bottom w:val="single" w:sz="4" w:space="0" w:color="000000"/>
            </w:tcBorders>
          </w:tcPr>
          <w:p>
            <w:pPr>
              <w:pStyle w:val="Default"/>
              <w:bidi w:val="0"/>
              <w:snapToGrid w:val="false"/>
              <w:ind w:left="0" w:right="0" w:firstLine="176"/>
              <w:jc w:val="both"/>
              <w:rPr>
                <w:color w:val="000000"/>
                <w:sz w:val="20"/>
                <w:szCs w:val="20"/>
                <w:highlight w:val="lightGray"/>
                <w:lang w:val="uk-UA"/>
              </w:rPr>
            </w:pPr>
            <w:r>
              <w:rPr>
                <w:color w:val="000000"/>
                <w:sz w:val="20"/>
                <w:szCs w:val="20"/>
                <w:highlight w:val="lightGray"/>
                <w:lang w:val="uk-UA"/>
              </w:rPr>
            </w:r>
          </w:p>
        </w:tc>
        <w:tc>
          <w:tcPr>
            <w:tcW w:w="4252" w:type="dxa"/>
            <w:tcBorders>
              <w:top w:val="single" w:sz="4" w:space="0" w:color="000000"/>
              <w:left w:val="single" w:sz="4" w:space="0" w:color="000000"/>
              <w:bottom w:val="single" w:sz="4" w:space="0" w:color="000000"/>
            </w:tcBorders>
          </w:tcPr>
          <w:p>
            <w:pPr>
              <w:pStyle w:val="Normal"/>
              <w:jc w:val="center"/>
              <w:rPr>
                <w:sz w:val="20"/>
                <w:szCs w:val="20"/>
              </w:rPr>
            </w:pPr>
            <w:r>
              <w:rPr>
                <w:sz w:val="20"/>
                <w:szCs w:val="20"/>
              </w:rPr>
              <w:t>Зауваження та пропозиції відсутні</w:t>
            </w:r>
          </w:p>
        </w:tc>
        <w:tc>
          <w:tcPr>
            <w:tcW w:w="1559" w:type="dxa"/>
            <w:tcBorders>
              <w:top w:val="single" w:sz="4" w:space="0" w:color="000000"/>
              <w:left w:val="single" w:sz="4" w:space="0" w:color="000000"/>
              <w:bottom w:val="single" w:sz="4" w:space="0" w:color="000000"/>
            </w:tcBorders>
          </w:tcPr>
          <w:p>
            <w:pPr>
              <w:pStyle w:val="Normal"/>
              <w:jc w:val="center"/>
              <w:rPr>
                <w:color w:val="000000"/>
                <w:sz w:val="20"/>
                <w:szCs w:val="20"/>
              </w:rPr>
            </w:pPr>
            <w:r>
              <w:rPr>
                <w:color w:val="000000"/>
                <w:sz w:val="20"/>
                <w:szCs w:val="20"/>
              </w:rPr>
              <w:t>-</w:t>
            </w:r>
          </w:p>
        </w:tc>
        <w:tc>
          <w:tcPr>
            <w:tcW w:w="4140" w:type="dxa"/>
            <w:tcBorders>
              <w:top w:val="single" w:sz="4" w:space="0" w:color="000000"/>
              <w:left w:val="single" w:sz="4" w:space="0" w:color="000000"/>
              <w:bottom w:val="single" w:sz="4" w:space="0" w:color="000000"/>
              <w:right w:val="single" w:sz="4" w:space="0" w:color="000000"/>
            </w:tcBorders>
          </w:tcPr>
          <w:p>
            <w:pPr>
              <w:pStyle w:val="Normal"/>
              <w:jc w:val="center"/>
              <w:rPr>
                <w:color w:val="000000"/>
                <w:sz w:val="20"/>
                <w:szCs w:val="20"/>
              </w:rPr>
            </w:pPr>
            <w:r>
              <w:rPr>
                <w:color w:val="000000"/>
                <w:sz w:val="20"/>
                <w:szCs w:val="20"/>
              </w:rPr>
              <w:t>-</w:t>
            </w:r>
          </w:p>
        </w:tc>
      </w:tr>
    </w:tbl>
    <w:p>
      <w:pPr>
        <w:pStyle w:val="Normal"/>
        <w:jc w:val="both"/>
        <w:rPr>
          <w:color w:val="000000"/>
          <w:sz w:val="20"/>
          <w:szCs w:val="20"/>
          <w:highlight w:val="lightGray"/>
        </w:rPr>
      </w:pPr>
      <w:r>
        <w:rPr>
          <w:color w:val="000000"/>
          <w:sz w:val="20"/>
          <w:szCs w:val="20"/>
          <w:highlight w:val="lightGray"/>
        </w:rPr>
      </w:r>
    </w:p>
    <w:p>
      <w:pPr>
        <w:pStyle w:val="Normal"/>
        <w:tabs>
          <w:tab w:val="clear" w:pos="708"/>
          <w:tab w:val="left" w:pos="284" w:leader="none"/>
        </w:tabs>
        <w:spacing w:lineRule="auto" w:line="276"/>
        <w:ind w:left="-11" w:right="0" w:hanging="0"/>
        <w:jc w:val="both"/>
        <w:rPr>
          <w:color w:val="000000"/>
          <w:sz w:val="20"/>
          <w:szCs w:val="20"/>
          <w:highlight w:val="lightGray"/>
          <w:lang w:eastAsia="en-US"/>
        </w:rPr>
      </w:pPr>
      <w:r>
        <w:rPr>
          <w:color w:val="000000"/>
          <w:sz w:val="20"/>
          <w:szCs w:val="20"/>
          <w:highlight w:val="lightGray"/>
          <w:lang w:eastAsia="en-US"/>
        </w:rPr>
      </w:r>
    </w:p>
    <w:p>
      <w:pPr>
        <w:pStyle w:val="Normal"/>
        <w:jc w:val="both"/>
        <w:rPr>
          <w:sz w:val="24"/>
          <w:szCs w:val="24"/>
          <w:lang w:eastAsia="uk-UA"/>
        </w:rPr>
      </w:pPr>
      <w:r>
        <w:rPr>
          <w:sz w:val="24"/>
          <w:szCs w:val="24"/>
          <w:lang w:eastAsia="uk-UA"/>
        </w:rPr>
        <w:t>В.о. керівника військово-цивільної</w:t>
      </w:r>
    </w:p>
    <w:p>
      <w:pPr>
        <w:pStyle w:val="Normal"/>
        <w:jc w:val="both"/>
        <w:rPr>
          <w:sz w:val="24"/>
          <w:szCs w:val="24"/>
          <w:lang w:eastAsia="uk-UA"/>
        </w:rPr>
      </w:pPr>
      <w:r>
        <w:rPr>
          <w:sz w:val="24"/>
          <w:szCs w:val="24"/>
          <w:lang w:eastAsia="uk-UA"/>
        </w:rPr>
        <w:t>адміністрації міста Авдіївка Донецької</w:t>
      </w:r>
    </w:p>
    <w:p>
      <w:pPr>
        <w:pStyle w:val="Normal"/>
        <w:tabs>
          <w:tab w:val="clear" w:pos="708"/>
          <w:tab w:val="left" w:pos="12589" w:leader="none"/>
        </w:tabs>
        <w:jc w:val="both"/>
        <w:rPr>
          <w:sz w:val="24"/>
          <w:szCs w:val="24"/>
          <w:lang w:eastAsia="uk-UA"/>
        </w:rPr>
      </w:pPr>
      <w:r>
        <w:rPr>
          <w:sz w:val="24"/>
          <w:szCs w:val="24"/>
          <w:lang w:eastAsia="uk-UA"/>
        </w:rPr>
        <w:t>області</w:t>
        <w:tab/>
        <w:t>Р. Шахов</w:t>
      </w:r>
    </w:p>
    <w:p>
      <w:pPr>
        <w:pStyle w:val="Normal"/>
        <w:ind w:left="0" w:right="0" w:hanging="0"/>
        <w:rPr>
          <w:sz w:val="24"/>
          <w:szCs w:val="24"/>
          <w:lang w:eastAsia="uk-UA"/>
        </w:rPr>
      </w:pPr>
      <w:r>
        <w:rPr>
          <w:sz w:val="24"/>
          <w:szCs w:val="24"/>
          <w:lang w:eastAsia="uk-UA"/>
        </w:rPr>
      </w:r>
    </w:p>
    <w:p>
      <w:pPr>
        <w:pStyle w:val="Normal"/>
        <w:ind w:left="0" w:right="0" w:hanging="0"/>
        <w:rPr/>
      </w:pPr>
      <w:r>
        <w:rPr>
          <w:rFonts w:eastAsia="Times New Roman" w:cs="Times New Roman"/>
          <w:color w:val="auto"/>
          <w:sz w:val="24"/>
          <w:szCs w:val="24"/>
          <w:lang w:val="uk-UA" w:eastAsia="uk-UA" w:bidi="ar-SA"/>
        </w:rPr>
        <w:t>Н</w:t>
      </w:r>
      <w:r>
        <w:rPr>
          <w:sz w:val="24"/>
          <w:szCs w:val="24"/>
          <w:lang w:eastAsia="uk-UA"/>
        </w:rPr>
        <w:t>ачальник відділу</w:t>
      </w:r>
    </w:p>
    <w:p>
      <w:pPr>
        <w:pStyle w:val="Normal"/>
        <w:ind w:left="0" w:right="0" w:hanging="0"/>
        <w:rPr>
          <w:sz w:val="24"/>
          <w:szCs w:val="24"/>
          <w:lang w:eastAsia="uk-UA"/>
        </w:rPr>
      </w:pPr>
      <w:r>
        <w:rPr>
          <w:sz w:val="24"/>
          <w:szCs w:val="24"/>
          <w:lang w:eastAsia="uk-UA"/>
        </w:rPr>
        <w:t xml:space="preserve">архітектури та містобудування – </w:t>
      </w:r>
    </w:p>
    <w:p>
      <w:pPr>
        <w:pStyle w:val="Normal"/>
        <w:tabs>
          <w:tab w:val="clear" w:pos="708"/>
          <w:tab w:val="left" w:pos="12583" w:leader="none"/>
        </w:tabs>
        <w:ind w:left="0" w:right="0" w:hanging="0"/>
        <w:rPr>
          <w:sz w:val="24"/>
          <w:szCs w:val="24"/>
          <w:lang w:eastAsia="uk-UA"/>
        </w:rPr>
      </w:pPr>
      <w:r>
        <w:rPr>
          <w:sz w:val="24"/>
          <w:szCs w:val="24"/>
          <w:lang w:eastAsia="uk-UA"/>
        </w:rPr>
        <w:t xml:space="preserve">головний архітектор м. Авдіївка </w:t>
        <w:tab/>
        <w:t>М. Пефтиц</w:t>
      </w:r>
    </w:p>
    <w:p>
      <w:pPr>
        <w:pStyle w:val="Normal"/>
        <w:ind w:left="0" w:right="0" w:hanging="0"/>
        <w:rPr>
          <w:sz w:val="24"/>
          <w:szCs w:val="24"/>
          <w:lang w:eastAsia="uk-UA"/>
        </w:rPr>
      </w:pPr>
      <w:r>
        <w:rPr>
          <w:sz w:val="24"/>
          <w:szCs w:val="24"/>
          <w:lang w:eastAsia="uk-UA"/>
        </w:rPr>
      </w:r>
    </w:p>
    <w:p>
      <w:pPr>
        <w:pStyle w:val="Normal"/>
        <w:jc w:val="both"/>
        <w:rPr>
          <w:sz w:val="24"/>
          <w:szCs w:val="24"/>
          <w:lang w:eastAsia="uk-UA"/>
        </w:rPr>
      </w:pPr>
      <w:r>
        <w:rPr>
          <w:sz w:val="24"/>
          <w:szCs w:val="24"/>
          <w:lang w:eastAsia="uk-UA"/>
        </w:rPr>
      </w:r>
    </w:p>
    <w:sectPr>
      <w:type w:val="nextPage"/>
      <w:pgSz w:orient="landscape" w:w="16838" w:h="11906"/>
      <w:pgMar w:left="1134" w:right="1134" w:header="0" w:top="539" w:footer="0" w:bottom="53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Liberation Sans">
    <w:altName w:val="Arial"/>
    <w:charset w:val="01"/>
    <w:family w:val="swiss"/>
    <w:pitch w:val="variable"/>
  </w:font>
  <w:font w:name="Calibri">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szCs w:val="24"/>
      </w:rPr>
    </w:lvl>
  </w:abstractNum>
  <w:abstractNum w:abstractNumId="2">
    <w:lvl w:ilvl="0">
      <w:numFmt w:val="bullet"/>
      <w:lvlText w:val="-"/>
      <w:lvlJc w:val="left"/>
      <w:pPr>
        <w:ind w:left="1475" w:hanging="360"/>
      </w:pPr>
      <w:rPr>
        <w:rFonts w:ascii="Courier New" w:hAnsi="Courier New" w:cs="Courier New" w:hint="default"/>
        <w:rFonts w:cs="Courier New"/>
      </w:rPr>
    </w:lvl>
  </w:abstractNum>
  <w:abstractNum w:abstractNumId="3">
    <w:lvl w:ilvl="0">
      <w:start w:val="14"/>
      <w:numFmt w:val="bullet"/>
      <w:lvlText w:val="-"/>
      <w:lvlJc w:val="left"/>
      <w:pPr>
        <w:ind w:left="643" w:hanging="360"/>
      </w:pPr>
      <w:rPr>
        <w:rFonts w:ascii="Times New Roman" w:hAnsi="Times New Roman" w:cs="Times New Roman" w:hint="default"/>
        <w:sz w:val="20"/>
        <w:szCs w:val="20"/>
        <w:rFonts w:cs="Times New Roman"/>
        <w:lang w:val="uk-UA"/>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8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w:cs="Lohit Marathi"/>
        <w:szCs w:val="24"/>
        <w:lang w:val="ru-RU"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uk-UA" w:eastAsia="zh-CN" w:bidi="ar-SA"/>
    </w:rPr>
  </w:style>
  <w:style w:type="character" w:styleId="WW8Num1z0">
    <w:name w:val="WW8Num1z0"/>
    <w:qFormat/>
    <w:rPr>
      <w:sz w:val="24"/>
      <w:szCs w:val="24"/>
    </w:rPr>
  </w:style>
  <w:style w:type="character" w:styleId="WW8Num2z0">
    <w:name w:val="WW8Num2z0"/>
    <w:qFormat/>
    <w:rPr>
      <w:rFonts w:ascii="Courier New" w:hAnsi="Courier New" w:cs="Courier New"/>
    </w:rPr>
  </w:style>
  <w:style w:type="character" w:styleId="WW8Num3z0">
    <w:name w:val="WW8Num3z0"/>
    <w:qFormat/>
    <w:rPr>
      <w:rFonts w:ascii="Times New Roman" w:hAnsi="Times New Roman" w:cs="Times New Roman"/>
      <w:sz w:val="20"/>
      <w:szCs w:val="20"/>
      <w:lang w:val="uk-UA"/>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color w:val="000000"/>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b/>
      <w:color w:val="000000"/>
      <w:sz w:val="20"/>
      <w:szCs w:val="20"/>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Courier New" w:hAnsi="Courier New" w:eastAsia="Courier New" w:cs="Courier New"/>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b/>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Style14">
    <w:name w:val="Основной шрифт абзаца"/>
    <w:qFormat/>
    <w:rPr/>
  </w:style>
  <w:style w:type="character" w:styleId="Rvts0">
    <w:name w:val="rvts0"/>
    <w:basedOn w:val="Style14"/>
    <w:qFormat/>
    <w:rPr/>
  </w:style>
  <w:style w:type="character" w:styleId="1">
    <w:name w:val="Рівень 1_ Знак"/>
    <w:qFormat/>
    <w:rPr>
      <w:sz w:val="24"/>
      <w:szCs w:val="24"/>
    </w:rPr>
  </w:style>
  <w:style w:type="character" w:styleId="Style15">
    <w:name w:val="Название книги"/>
    <w:qFormat/>
    <w:rPr>
      <w:b/>
      <w:bCs/>
      <w:i/>
      <w:iCs/>
      <w:spacing w:val="5"/>
    </w:rPr>
  </w:style>
  <w:style w:type="character" w:styleId="Style16">
    <w:name w:val="Основной текст_"/>
    <w:qFormat/>
    <w:rPr>
      <w:sz w:val="26"/>
      <w:szCs w:val="26"/>
      <w:shd w:fill="FFFFFF" w:val="clear"/>
    </w:rPr>
  </w:style>
  <w:style w:type="character" w:styleId="Style17">
    <w:name w:val="Подпись к картинке_"/>
    <w:qFormat/>
    <w:rPr>
      <w:sz w:val="26"/>
      <w:szCs w:val="26"/>
      <w:shd w:fill="FFFFFF" w:val="clear"/>
    </w:rPr>
  </w:style>
  <w:style w:type="character" w:styleId="2">
    <w:name w:val="Основной текст (2)_"/>
    <w:qFormat/>
    <w:rPr>
      <w:sz w:val="26"/>
      <w:szCs w:val="26"/>
      <w:shd w:fill="FFFFFF" w:val="clear"/>
    </w:rPr>
  </w:style>
  <w:style w:type="character" w:styleId="3Exact">
    <w:name w:val="Подпись к картинке (3) Exact"/>
    <w:qFormat/>
    <w:rPr>
      <w:b/>
      <w:bCs/>
      <w:sz w:val="28"/>
      <w:szCs w:val="28"/>
      <w:shd w:fill="FFFFFF" w:val="clear"/>
    </w:rPr>
  </w:style>
  <w:style w:type="paragraph" w:styleId="Style18">
    <w:name w:val="Заголовок"/>
    <w:basedOn w:val="Normal"/>
    <w:next w:val="Style19"/>
    <w:qFormat/>
    <w:pPr>
      <w:keepNext w:val="true"/>
      <w:spacing w:before="240" w:after="120"/>
    </w:pPr>
    <w:rPr>
      <w:rFonts w:ascii="Liberation Sans;Arial" w:hAnsi="Liberation Sans;Arial" w:eastAsia="WenQuanYi Zen Hei" w:cs="Lohit Marath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Marathi"/>
    </w:rPr>
  </w:style>
  <w:style w:type="paragraph" w:styleId="Style21">
    <w:name w:val="Caption"/>
    <w:basedOn w:val="Normal"/>
    <w:qFormat/>
    <w:pPr>
      <w:suppressLineNumbers/>
      <w:spacing w:before="120" w:after="120"/>
    </w:pPr>
    <w:rPr>
      <w:rFonts w:cs="Lohit Marathi"/>
      <w:i/>
      <w:iCs/>
      <w:sz w:val="24"/>
      <w:szCs w:val="24"/>
    </w:rPr>
  </w:style>
  <w:style w:type="paragraph" w:styleId="Style22">
    <w:name w:val="Указатель"/>
    <w:basedOn w:val="Normal"/>
    <w:qFormat/>
    <w:pPr>
      <w:suppressLineNumbers/>
    </w:pPr>
    <w:rPr>
      <w:rFonts w:cs="Lohit Marathi"/>
    </w:rPr>
  </w:style>
  <w:style w:type="paragraph" w:styleId="Default">
    <w:name w:val="Default"/>
    <w:qFormat/>
    <w:pPr>
      <w:widowControl/>
      <w:suppressAutoHyphens w:val="true"/>
      <w:autoSpaceDE w:val="false"/>
      <w:bidi w:val="0"/>
    </w:pPr>
    <w:rPr>
      <w:rFonts w:ascii="Times New Roman" w:hAnsi="Times New Roman" w:eastAsia="Times New Roman" w:cs="Times New Roman"/>
      <w:color w:val="000000"/>
      <w:sz w:val="24"/>
      <w:szCs w:val="24"/>
      <w:lang w:val="ru-RU" w:eastAsia="zh-CN" w:bidi="ar-SA"/>
    </w:rPr>
  </w:style>
  <w:style w:type="paragraph" w:styleId="Style23">
    <w:name w:val="Абзац списка"/>
    <w:basedOn w:val="Normal"/>
    <w:qFormat/>
    <w:pPr>
      <w:spacing w:lineRule="auto" w:line="276" w:before="0" w:after="200"/>
      <w:ind w:left="720" w:right="0" w:hanging="0"/>
      <w:contextualSpacing/>
    </w:pPr>
    <w:rPr>
      <w:rFonts w:ascii="Calibri" w:hAnsi="Calibri" w:eastAsia="Calibri" w:cs="Times New Roman"/>
      <w:sz w:val="22"/>
      <w:szCs w:val="22"/>
      <w:lang w:val="ru-RU"/>
    </w:rPr>
  </w:style>
  <w:style w:type="paragraph" w:styleId="11">
    <w:name w:val="Рівень 1_"/>
    <w:basedOn w:val="Normal"/>
    <w:qFormat/>
    <w:pPr>
      <w:keepNext w:val="true"/>
      <w:numPr>
        <w:ilvl w:val="0"/>
        <w:numId w:val="2"/>
      </w:numPr>
      <w:tabs>
        <w:tab w:val="clear" w:pos="708"/>
        <w:tab w:val="left" w:pos="0" w:leader="none"/>
        <w:tab w:val="left" w:pos="284" w:leader="none"/>
      </w:tabs>
      <w:spacing w:lineRule="auto" w:line="276" w:before="360" w:after="0"/>
      <w:ind w:left="0" w:right="284" w:hanging="107"/>
      <w:jc w:val="both"/>
    </w:pPr>
    <w:rPr/>
  </w:style>
  <w:style w:type="paragraph" w:styleId="12">
    <w:name w:val="Основной текст1"/>
    <w:basedOn w:val="Normal"/>
    <w:qFormat/>
    <w:pPr>
      <w:widowControl w:val="false"/>
      <w:shd w:fill="FFFFFF" w:val="clear"/>
      <w:ind w:left="0" w:right="0" w:firstLine="400"/>
    </w:pPr>
    <w:rPr>
      <w:sz w:val="26"/>
      <w:szCs w:val="26"/>
    </w:rPr>
  </w:style>
  <w:style w:type="paragraph" w:styleId="Style24">
    <w:name w:val="Подпись к картинке"/>
    <w:basedOn w:val="Normal"/>
    <w:qFormat/>
    <w:pPr>
      <w:widowControl w:val="false"/>
      <w:shd w:fill="FFFFFF" w:val="clear"/>
    </w:pPr>
    <w:rPr>
      <w:sz w:val="26"/>
      <w:szCs w:val="26"/>
    </w:rPr>
  </w:style>
  <w:style w:type="paragraph" w:styleId="21">
    <w:name w:val="Основной текст (2)1"/>
    <w:basedOn w:val="Normal"/>
    <w:qFormat/>
    <w:pPr>
      <w:widowControl w:val="false"/>
      <w:shd w:fill="FFFFFF" w:val="clear"/>
      <w:spacing w:lineRule="exact" w:line="307"/>
    </w:pPr>
    <w:rPr>
      <w:sz w:val="26"/>
      <w:szCs w:val="26"/>
      <w:lang w:val="ru-RU"/>
    </w:rPr>
  </w:style>
  <w:style w:type="paragraph" w:styleId="3">
    <w:name w:val="Подпись к картинке (3)"/>
    <w:basedOn w:val="Normal"/>
    <w:qFormat/>
    <w:pPr>
      <w:widowControl w:val="false"/>
      <w:shd w:fill="FFFFFF" w:val="clear"/>
      <w:spacing w:lineRule="atLeast" w:line="240"/>
    </w:pPr>
    <w:rPr>
      <w:b/>
      <w:bCs/>
      <w:sz w:val="28"/>
      <w:szCs w:val="28"/>
      <w:lang w:val="ru-RU"/>
    </w:rPr>
  </w:style>
  <w:style w:type="paragraph" w:styleId="Style25">
    <w:name w:val="Содержимое таблицы"/>
    <w:basedOn w:val="Normal"/>
    <w:qFormat/>
    <w:pPr>
      <w:suppressLineNumbers/>
    </w:pPr>
    <w:rPr/>
  </w:style>
  <w:style w:type="paragraph" w:styleId="Style26">
    <w:name w:val="Заголовок таблицы"/>
    <w:basedOn w:val="Style25"/>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587</TotalTime>
  <Application>LibreOffice/6.4.3.2$Linux_X86_64 LibreOffice_project/40$Build-2</Application>
  <Pages>11</Pages>
  <Words>3104</Words>
  <Characters>21894</Characters>
  <CharactersWithSpaces>25013</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2020-02-24T11:00:00Z</dcterms:created>
  <dc:creator>Customer</dc:creator>
  <dc:description/>
  <dc:language>ru-RU</dc:language>
  <cp:lastModifiedBy/>
  <cp:lastPrinted>1995-11-21T17:41:00Z</cp:lastPrinted>
  <dcterms:modified xsi:type="dcterms:W3CDTF">2020-05-06T08:50:36Z</dcterms:modified>
  <cp:revision>55</cp:revision>
  <dc:subject/>
  <dc:title>ДОВІДКА ПРО КОНСУЛЬТАЦІЇ У ПРОЦЕССІ СТРАТЕГІЧНОЇ ЕКОЛОГІЧНОЇ ОЦІНКИ</dc:title>
</cp:coreProperties>
</file>